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111B7" w14:textId="77777777" w:rsidR="0006224A" w:rsidRPr="00986533" w:rsidRDefault="0006224A" w:rsidP="0006224A">
      <w:pPr>
        <w:rPr>
          <w:rFonts w:eastAsia="Times New Roman" w:cstheme="minorHAnsi"/>
        </w:rPr>
      </w:pPr>
      <w:r w:rsidRPr="00986533">
        <w:rPr>
          <w:rFonts w:eastAsia="Times New Roman" w:cstheme="minorHAnsi"/>
          <w:b/>
          <w:bCs/>
          <w:i/>
          <w:iCs/>
          <w:color w:val="1C1D1E"/>
        </w:rPr>
        <w:t>Business and Society Review</w:t>
      </w:r>
      <w:r w:rsidRPr="00986533">
        <w:rPr>
          <w:rFonts w:eastAsia="Times New Roman" w:cstheme="minorHAnsi"/>
          <w:color w:val="1C1D1E"/>
          <w:shd w:val="clear" w:color="auto" w:fill="FFFFFF"/>
        </w:rPr>
        <w:t xml:space="preserve"> addresses a wide range of ethical issues concerning the relationships between business, society, and the public good. Its contents are of vital concern to </w:t>
      </w:r>
      <w:proofErr w:type="gramStart"/>
      <w:r w:rsidRPr="00986533">
        <w:rPr>
          <w:rFonts w:eastAsia="Times New Roman" w:cstheme="minorHAnsi"/>
          <w:color w:val="1C1D1E"/>
          <w:shd w:val="clear" w:color="auto" w:fill="FFFFFF"/>
        </w:rPr>
        <w:t>business people</w:t>
      </w:r>
      <w:proofErr w:type="gramEnd"/>
      <w:r w:rsidRPr="00986533">
        <w:rPr>
          <w:rFonts w:eastAsia="Times New Roman" w:cstheme="minorHAnsi"/>
          <w:color w:val="1C1D1E"/>
          <w:shd w:val="clear" w:color="auto" w:fill="FFFFFF"/>
        </w:rPr>
        <w:t>, academics, and others involved in the contemporary debate about the proper role of business in society. The journal publishes papers from all those working in this important area, including researchers and business professionals, members of the legal profession, government administrators and many others.</w:t>
      </w:r>
    </w:p>
    <w:p w14:paraId="6864BFFA" w14:textId="3CE7D97B" w:rsidR="0006224A" w:rsidRPr="00986533" w:rsidRDefault="0006224A">
      <w:pPr>
        <w:rPr>
          <w:rFonts w:cstheme="minorHAnsi"/>
        </w:rPr>
      </w:pPr>
    </w:p>
    <w:p w14:paraId="095F68EB" w14:textId="6D76235D" w:rsidR="00CE2BD6" w:rsidRPr="00BA2CD8" w:rsidRDefault="00CE2BD6" w:rsidP="00CE2BD6">
      <w:pPr>
        <w:pStyle w:val="Heading2"/>
        <w:jc w:val="center"/>
        <w:rPr>
          <w:rFonts w:asciiTheme="minorHAnsi" w:hAnsiTheme="minorHAnsi" w:cstheme="minorHAnsi"/>
          <w:sz w:val="28"/>
          <w:szCs w:val="28"/>
        </w:rPr>
      </w:pPr>
      <w:r w:rsidRPr="00BA2CD8">
        <w:rPr>
          <w:rFonts w:asciiTheme="minorHAnsi" w:hAnsiTheme="minorHAnsi" w:cstheme="minorHAnsi"/>
          <w:i/>
          <w:iCs/>
          <w:sz w:val="28"/>
          <w:szCs w:val="28"/>
        </w:rPr>
        <w:t>Business and Society Review</w:t>
      </w:r>
      <w:r w:rsidRPr="00BA2CD8">
        <w:rPr>
          <w:rFonts w:asciiTheme="minorHAnsi" w:hAnsiTheme="minorHAnsi" w:cstheme="minorHAnsi"/>
          <w:sz w:val="28"/>
          <w:szCs w:val="28"/>
        </w:rPr>
        <w:t xml:space="preserve"> Special Issue</w:t>
      </w:r>
    </w:p>
    <w:p w14:paraId="68378784" w14:textId="434C67D4" w:rsidR="00CE2BD6" w:rsidRPr="00BA2CD8" w:rsidRDefault="00CE2BD6" w:rsidP="00CE2BD6">
      <w:pPr>
        <w:pStyle w:val="Heading2"/>
        <w:jc w:val="center"/>
        <w:rPr>
          <w:rFonts w:asciiTheme="minorHAnsi" w:hAnsiTheme="minorHAnsi" w:cstheme="minorHAnsi"/>
          <w:sz w:val="28"/>
          <w:szCs w:val="28"/>
        </w:rPr>
      </w:pPr>
      <w:r w:rsidRPr="00BA2CD8">
        <w:rPr>
          <w:rFonts w:asciiTheme="minorHAnsi" w:hAnsiTheme="minorHAnsi" w:cstheme="minorHAnsi"/>
          <w:sz w:val="28"/>
          <w:szCs w:val="28"/>
        </w:rPr>
        <w:t>Call for Papers</w:t>
      </w:r>
    </w:p>
    <w:p w14:paraId="258F1B5A" w14:textId="65380DD3" w:rsidR="00CE2BD6" w:rsidRPr="00D042A8" w:rsidRDefault="00CE2BD6" w:rsidP="00CE2BD6">
      <w:pPr>
        <w:pStyle w:val="Heading1"/>
        <w:jc w:val="center"/>
        <w:rPr>
          <w:rFonts w:asciiTheme="minorHAnsi" w:hAnsiTheme="minorHAnsi" w:cstheme="minorHAnsi"/>
        </w:rPr>
      </w:pPr>
      <w:r w:rsidRPr="00D042A8">
        <w:rPr>
          <w:rFonts w:asciiTheme="minorHAnsi" w:hAnsiTheme="minorHAnsi" w:cstheme="minorHAnsi"/>
        </w:rPr>
        <w:t>Business and Society in the Age of COVID-19</w:t>
      </w:r>
    </w:p>
    <w:p w14:paraId="6A535A87" w14:textId="32774161" w:rsidR="00CE2BD6" w:rsidRPr="00BA2CD8" w:rsidRDefault="00CE2BD6" w:rsidP="00CE2BD6">
      <w:pPr>
        <w:rPr>
          <w:rFonts w:cstheme="minorHAnsi"/>
          <w:sz w:val="28"/>
          <w:szCs w:val="28"/>
        </w:rPr>
      </w:pPr>
    </w:p>
    <w:p w14:paraId="34F0B19A" w14:textId="1D226430" w:rsidR="00CE2BD6" w:rsidRPr="00986533" w:rsidRDefault="00CE2BD6" w:rsidP="00CE2BD6">
      <w:pPr>
        <w:rPr>
          <w:rFonts w:cstheme="minorHAnsi"/>
        </w:rPr>
      </w:pPr>
    </w:p>
    <w:p w14:paraId="326D5338" w14:textId="2413E508" w:rsidR="00CE2BD6" w:rsidRPr="00BA2CD8" w:rsidRDefault="00CE2BD6" w:rsidP="00CE2BD6">
      <w:pPr>
        <w:pStyle w:val="Heading4"/>
        <w:rPr>
          <w:rFonts w:asciiTheme="minorHAnsi" w:hAnsiTheme="minorHAnsi" w:cstheme="minorHAnsi"/>
          <w:sz w:val="28"/>
          <w:szCs w:val="28"/>
        </w:rPr>
      </w:pPr>
      <w:r w:rsidRPr="00BA2CD8">
        <w:rPr>
          <w:rFonts w:asciiTheme="minorHAnsi" w:hAnsiTheme="minorHAnsi" w:cstheme="minorHAnsi"/>
          <w:sz w:val="28"/>
          <w:szCs w:val="28"/>
        </w:rPr>
        <w:t>Guest Editors</w:t>
      </w:r>
    </w:p>
    <w:p w14:paraId="3DBB66C0" w14:textId="7D69E0A5" w:rsidR="00C86BDB" w:rsidRPr="00C86BDB" w:rsidRDefault="00CE2BD6" w:rsidP="00CE2BD6">
      <w:pPr>
        <w:rPr>
          <w:rFonts w:cstheme="minorHAnsi"/>
          <w:color w:val="0563C1" w:themeColor="hyperlink"/>
          <w:u w:val="single"/>
        </w:rPr>
      </w:pPr>
      <w:r w:rsidRPr="00986533">
        <w:rPr>
          <w:rFonts w:cstheme="minorHAnsi"/>
        </w:rPr>
        <w:t xml:space="preserve">Nancy B. Kurland, Franklin &amp; Marshall College, </w:t>
      </w:r>
      <w:hyperlink r:id="rId5" w:history="1">
        <w:r w:rsidRPr="00986533">
          <w:rPr>
            <w:rStyle w:val="Hyperlink"/>
            <w:rFonts w:cstheme="minorHAnsi"/>
          </w:rPr>
          <w:t>nkurland@fandm.edu</w:t>
        </w:r>
      </w:hyperlink>
    </w:p>
    <w:p w14:paraId="3913C202" w14:textId="55FB42ED" w:rsidR="00C86BDB" w:rsidRDefault="00C86BDB" w:rsidP="00CE2BD6">
      <w:pPr>
        <w:rPr>
          <w:rFonts w:cstheme="minorHAnsi"/>
        </w:rPr>
      </w:pPr>
      <w:r>
        <w:rPr>
          <w:rFonts w:cstheme="minorHAnsi"/>
        </w:rPr>
        <w:t xml:space="preserve">Melissa Baucus, </w:t>
      </w:r>
      <w:r w:rsidR="00F62BA4">
        <w:rPr>
          <w:rFonts w:cstheme="minorHAnsi"/>
        </w:rPr>
        <w:t xml:space="preserve">Texas State University, </w:t>
      </w:r>
      <w:hyperlink r:id="rId6" w:history="1">
        <w:r w:rsidR="00F62BA4" w:rsidRPr="007D1CFB">
          <w:rPr>
            <w:rStyle w:val="Hyperlink"/>
            <w:rFonts w:cstheme="minorHAnsi"/>
          </w:rPr>
          <w:t>mbaucus@txstate.edu</w:t>
        </w:r>
      </w:hyperlink>
      <w:r w:rsidR="00F62BA4">
        <w:rPr>
          <w:rFonts w:cstheme="minorHAnsi"/>
        </w:rPr>
        <w:t xml:space="preserve"> </w:t>
      </w:r>
    </w:p>
    <w:p w14:paraId="3C3F52D3" w14:textId="1572D80F" w:rsidR="00CE2BD6" w:rsidRDefault="00C86BDB" w:rsidP="00CE2BD6">
      <w:pPr>
        <w:rPr>
          <w:rFonts w:cstheme="minorHAnsi"/>
        </w:rPr>
      </w:pPr>
      <w:r>
        <w:rPr>
          <w:rFonts w:cstheme="minorHAnsi"/>
        </w:rPr>
        <w:t xml:space="preserve">Erica </w:t>
      </w:r>
      <w:proofErr w:type="spellStart"/>
      <w:r>
        <w:rPr>
          <w:rFonts w:cstheme="minorHAnsi"/>
        </w:rPr>
        <w:t>Steckler</w:t>
      </w:r>
      <w:proofErr w:type="spellEnd"/>
      <w:r>
        <w:rPr>
          <w:rFonts w:cstheme="minorHAnsi"/>
        </w:rPr>
        <w:t>, University of Massachusetts</w:t>
      </w:r>
      <w:r w:rsidR="00F62BA4">
        <w:rPr>
          <w:rFonts w:cstheme="minorHAnsi"/>
        </w:rPr>
        <w:t xml:space="preserve"> </w:t>
      </w:r>
      <w:r>
        <w:rPr>
          <w:rFonts w:cstheme="minorHAnsi"/>
        </w:rPr>
        <w:t>Lowell</w:t>
      </w:r>
      <w:r w:rsidR="00F62BA4">
        <w:rPr>
          <w:rFonts w:cstheme="minorHAnsi"/>
        </w:rPr>
        <w:t xml:space="preserve">, </w:t>
      </w:r>
      <w:hyperlink r:id="rId7" w:history="1">
        <w:r w:rsidR="00F62BA4" w:rsidRPr="007D1CFB">
          <w:rPr>
            <w:rStyle w:val="Hyperlink"/>
            <w:rFonts w:cstheme="minorHAnsi"/>
          </w:rPr>
          <w:t>erica_steckler@uml.edu</w:t>
        </w:r>
      </w:hyperlink>
      <w:r w:rsidR="00F62BA4">
        <w:rPr>
          <w:rFonts w:cstheme="minorHAnsi"/>
        </w:rPr>
        <w:t xml:space="preserve"> </w:t>
      </w:r>
    </w:p>
    <w:p w14:paraId="33C09AFC" w14:textId="77777777" w:rsidR="00C86BDB" w:rsidRPr="00986533" w:rsidRDefault="00C86BDB" w:rsidP="00CE2BD6">
      <w:pPr>
        <w:rPr>
          <w:rFonts w:cstheme="minorHAnsi"/>
        </w:rPr>
      </w:pPr>
    </w:p>
    <w:p w14:paraId="65D9707E" w14:textId="23F718F2" w:rsidR="00CE2BD6" w:rsidRDefault="00A01CDF" w:rsidP="00CE2BD6">
      <w:pPr>
        <w:rPr>
          <w:rFonts w:cstheme="minorHAnsi"/>
        </w:rPr>
      </w:pPr>
      <w:r w:rsidRPr="00986533">
        <w:rPr>
          <w:rFonts w:cstheme="minorHAnsi"/>
        </w:rPr>
        <w:t>Deadline</w:t>
      </w:r>
      <w:r w:rsidR="00883BA5">
        <w:rPr>
          <w:rFonts w:cstheme="minorHAnsi"/>
        </w:rPr>
        <w:t xml:space="preserve"> for submissions: December 1, 2020</w:t>
      </w:r>
    </w:p>
    <w:p w14:paraId="5256791A" w14:textId="07C76569" w:rsidR="00A01CDF" w:rsidRPr="00986533" w:rsidRDefault="00CA6F00" w:rsidP="00CE2BD6">
      <w:pPr>
        <w:rPr>
          <w:rFonts w:cstheme="minorHAnsi"/>
        </w:rPr>
      </w:pPr>
      <w:r>
        <w:rPr>
          <w:rFonts w:cstheme="minorHAnsi"/>
        </w:rPr>
        <w:t>Anticipated</w:t>
      </w:r>
      <w:r w:rsidR="00A01CDF" w:rsidRPr="00986533">
        <w:rPr>
          <w:rFonts w:cstheme="minorHAnsi"/>
        </w:rPr>
        <w:t xml:space="preserve"> publication: </w:t>
      </w:r>
      <w:r w:rsidR="00767E25">
        <w:rPr>
          <w:rFonts w:cstheme="minorHAnsi"/>
        </w:rPr>
        <w:t xml:space="preserve"> </w:t>
      </w:r>
      <w:r w:rsidR="00392325">
        <w:rPr>
          <w:rFonts w:cstheme="minorHAnsi"/>
        </w:rPr>
        <w:t xml:space="preserve">September </w:t>
      </w:r>
      <w:r w:rsidR="00767E25">
        <w:rPr>
          <w:rFonts w:cstheme="minorHAnsi"/>
        </w:rPr>
        <w:t>2021</w:t>
      </w:r>
    </w:p>
    <w:p w14:paraId="1D41BEFC" w14:textId="63612E04" w:rsidR="00D67ED1" w:rsidRPr="00986533" w:rsidRDefault="00D67ED1" w:rsidP="00CE2BD6">
      <w:pPr>
        <w:rPr>
          <w:rFonts w:cstheme="minorHAnsi"/>
        </w:rPr>
      </w:pPr>
    </w:p>
    <w:p w14:paraId="222F43E5" w14:textId="77777777" w:rsidR="00A01CDF" w:rsidRPr="00986533" w:rsidRDefault="00A01CDF" w:rsidP="00CE2BD6">
      <w:pPr>
        <w:rPr>
          <w:rFonts w:cstheme="minorHAnsi"/>
        </w:rPr>
      </w:pPr>
    </w:p>
    <w:p w14:paraId="129584AB" w14:textId="1CB15718" w:rsidR="00CE2BD6" w:rsidRPr="00986533" w:rsidRDefault="00CE2BD6" w:rsidP="00CE2BD6">
      <w:pPr>
        <w:rPr>
          <w:rFonts w:cstheme="minorHAnsi"/>
        </w:rPr>
      </w:pPr>
      <w:r w:rsidRPr="00986533">
        <w:rPr>
          <w:rFonts w:cstheme="minorHAnsi"/>
        </w:rPr>
        <w:t xml:space="preserve">As businesses respond to the shuttering of the global economy to fight the coronavirus, from the proverbial Main street to transnational companies, they are responding to the unprecedented economic conditions in multiple ways. Some industries are deemed essential and will thrive. Others are nonessential and result in the bolting of retail </w:t>
      </w:r>
      <w:r w:rsidR="00CA6F00">
        <w:rPr>
          <w:rFonts w:cstheme="minorHAnsi"/>
        </w:rPr>
        <w:t xml:space="preserve">malls </w:t>
      </w:r>
      <w:r w:rsidRPr="00986533">
        <w:rPr>
          <w:rFonts w:cstheme="minorHAnsi"/>
        </w:rPr>
        <w:t xml:space="preserve">to </w:t>
      </w:r>
      <w:hyperlink r:id="rId8" w:history="1">
        <w:r w:rsidRPr="00986533">
          <w:rPr>
            <w:rStyle w:val="Hyperlink"/>
            <w:rFonts w:cstheme="minorHAnsi"/>
          </w:rPr>
          <w:t>scheduled abortions</w:t>
        </w:r>
      </w:hyperlink>
      <w:r w:rsidR="00A01CDF" w:rsidRPr="00986533">
        <w:rPr>
          <w:rFonts w:cstheme="minorHAnsi"/>
        </w:rPr>
        <w:t xml:space="preserve"> or the </w:t>
      </w:r>
      <w:hyperlink r:id="rId9" w:history="1">
        <w:r w:rsidR="00A01CDF" w:rsidRPr="00986533">
          <w:rPr>
            <w:rStyle w:val="Hyperlink"/>
            <w:rFonts w:cstheme="minorHAnsi"/>
          </w:rPr>
          <w:t>suspension of environmental rules</w:t>
        </w:r>
      </w:hyperlink>
      <w:r w:rsidRPr="00986533">
        <w:rPr>
          <w:rFonts w:cstheme="minorHAnsi"/>
        </w:rPr>
        <w:t xml:space="preserve">. </w:t>
      </w:r>
      <w:r w:rsidR="00A604C8" w:rsidRPr="00986533">
        <w:rPr>
          <w:rFonts w:cstheme="minorHAnsi"/>
        </w:rPr>
        <w:t>What role does corporate responsibility play in a shuttered economy?</w:t>
      </w:r>
    </w:p>
    <w:p w14:paraId="695F92F4" w14:textId="77777777" w:rsidR="00CE2BD6" w:rsidRPr="00986533" w:rsidRDefault="00CE2BD6" w:rsidP="00340325">
      <w:pPr>
        <w:rPr>
          <w:rFonts w:cstheme="minorHAnsi"/>
        </w:rPr>
      </w:pPr>
    </w:p>
    <w:p w14:paraId="7E2B3A87" w14:textId="69363BBD" w:rsidR="00340325" w:rsidRPr="00986533" w:rsidRDefault="00340325" w:rsidP="00340325">
      <w:pPr>
        <w:rPr>
          <w:rFonts w:cstheme="minorHAnsi"/>
        </w:rPr>
      </w:pPr>
      <w:r w:rsidRPr="00986533">
        <w:rPr>
          <w:rFonts w:cstheme="minorHAnsi"/>
        </w:rPr>
        <w:t>According to a well-cited typology of crises (</w:t>
      </w:r>
      <w:proofErr w:type="spellStart"/>
      <w:r w:rsidRPr="00986533">
        <w:rPr>
          <w:rFonts w:cstheme="minorHAnsi"/>
        </w:rPr>
        <w:t>Gundel</w:t>
      </w:r>
      <w:proofErr w:type="spellEnd"/>
      <w:r w:rsidRPr="00986533">
        <w:rPr>
          <w:rFonts w:cstheme="minorHAnsi"/>
        </w:rPr>
        <w:t xml:space="preserve">, 2005), </w:t>
      </w:r>
      <w:r w:rsidR="00B01F08">
        <w:rPr>
          <w:rFonts w:cstheme="minorHAnsi"/>
        </w:rPr>
        <w:t>COVID</w:t>
      </w:r>
      <w:r w:rsidRPr="00986533">
        <w:rPr>
          <w:rFonts w:cstheme="minorHAnsi"/>
        </w:rPr>
        <w:t>-19 can be classified as an intractable crisis</w:t>
      </w:r>
      <w:r w:rsidR="00D63561" w:rsidRPr="00986533">
        <w:rPr>
          <w:rFonts w:cstheme="minorHAnsi"/>
        </w:rPr>
        <w:t xml:space="preserve">, </w:t>
      </w:r>
      <w:r w:rsidRPr="00986533">
        <w:rPr>
          <w:rFonts w:cstheme="minorHAnsi"/>
        </w:rPr>
        <w:t xml:space="preserve">one that can be anticipated sufficiently but </w:t>
      </w:r>
      <w:r w:rsidR="00D63561" w:rsidRPr="00986533">
        <w:rPr>
          <w:rFonts w:cstheme="minorHAnsi"/>
        </w:rPr>
        <w:t xml:space="preserve">for which </w:t>
      </w:r>
      <w:r w:rsidRPr="00986533">
        <w:rPr>
          <w:rFonts w:cstheme="minorHAnsi"/>
        </w:rPr>
        <w:t xml:space="preserve">interference is almost impossible due the system attributes. What makes covid-19 so intractable? </w:t>
      </w:r>
      <w:r w:rsidR="00D63561" w:rsidRPr="00986533">
        <w:rPr>
          <w:rFonts w:cstheme="minorHAnsi"/>
        </w:rPr>
        <w:t xml:space="preserve">And what does and will the interface of business and society look like in the age of COVID-19? </w:t>
      </w:r>
    </w:p>
    <w:p w14:paraId="7459D0BC" w14:textId="34A9B41C" w:rsidR="00CE2BD6" w:rsidRPr="00986533" w:rsidRDefault="00CE2BD6" w:rsidP="00340325">
      <w:pPr>
        <w:rPr>
          <w:rFonts w:cstheme="minorHAnsi"/>
        </w:rPr>
      </w:pPr>
    </w:p>
    <w:p w14:paraId="6D6F5ABB" w14:textId="0454AB4E" w:rsidR="00CE2BD6" w:rsidRPr="00986533" w:rsidRDefault="00CE2BD6" w:rsidP="00340325">
      <w:pPr>
        <w:rPr>
          <w:rFonts w:eastAsia="Times New Roman" w:cstheme="minorHAnsi"/>
          <w:color w:val="1C1D1E"/>
          <w:shd w:val="clear" w:color="auto" w:fill="FFFFFF"/>
        </w:rPr>
      </w:pPr>
      <w:r w:rsidRPr="00986533">
        <w:rPr>
          <w:rFonts w:cstheme="minorHAnsi"/>
        </w:rPr>
        <w:t xml:space="preserve">In this special issue of </w:t>
      </w:r>
      <w:r w:rsidRPr="00986533">
        <w:rPr>
          <w:rFonts w:cstheme="minorHAnsi"/>
          <w:i/>
          <w:iCs/>
        </w:rPr>
        <w:t>Business and Society Review</w:t>
      </w:r>
      <w:r w:rsidRPr="00986533">
        <w:rPr>
          <w:rFonts w:cstheme="minorHAnsi"/>
        </w:rPr>
        <w:t>, we call</w:t>
      </w:r>
      <w:r w:rsidR="00D63561" w:rsidRPr="00986533">
        <w:rPr>
          <w:rFonts w:cstheme="minorHAnsi"/>
        </w:rPr>
        <w:t xml:space="preserve"> for papers to examine the </w:t>
      </w:r>
      <w:r w:rsidR="00D63561" w:rsidRPr="00986533">
        <w:rPr>
          <w:rFonts w:eastAsia="Times New Roman" w:cstheme="minorHAnsi"/>
          <w:color w:val="1C1D1E"/>
          <w:shd w:val="clear" w:color="auto" w:fill="FFFFFF"/>
        </w:rPr>
        <w:t xml:space="preserve">relationships </w:t>
      </w:r>
      <w:r w:rsidR="00E25DE0" w:rsidRPr="00986533">
        <w:rPr>
          <w:rFonts w:eastAsia="Times New Roman" w:cstheme="minorHAnsi"/>
          <w:color w:val="1C1D1E"/>
          <w:shd w:val="clear" w:color="auto" w:fill="FFFFFF"/>
        </w:rPr>
        <w:t>among</w:t>
      </w:r>
      <w:r w:rsidR="00D63561" w:rsidRPr="00986533">
        <w:rPr>
          <w:rFonts w:eastAsia="Times New Roman" w:cstheme="minorHAnsi"/>
          <w:color w:val="1C1D1E"/>
          <w:shd w:val="clear" w:color="auto" w:fill="FFFFFF"/>
        </w:rPr>
        <w:t xml:space="preserve"> business, society, and the public good as a result of COVID-19. </w:t>
      </w:r>
    </w:p>
    <w:p w14:paraId="29B46445" w14:textId="77777777" w:rsidR="00D63561" w:rsidRPr="00986533" w:rsidRDefault="00D63561" w:rsidP="00D63561">
      <w:pPr>
        <w:rPr>
          <w:rFonts w:cstheme="minorHAnsi"/>
        </w:rPr>
      </w:pPr>
    </w:p>
    <w:p w14:paraId="71521205" w14:textId="20E65F2F" w:rsidR="00D63561" w:rsidRPr="00986533" w:rsidRDefault="00D63561" w:rsidP="0055123E">
      <w:pPr>
        <w:spacing w:after="200"/>
        <w:rPr>
          <w:rFonts w:cstheme="minorHAnsi"/>
        </w:rPr>
      </w:pPr>
      <w:r w:rsidRPr="00986533">
        <w:rPr>
          <w:rFonts w:cstheme="minorHAnsi"/>
        </w:rPr>
        <w:t xml:space="preserve">Articles can examine </w:t>
      </w:r>
      <w:r w:rsidRPr="00F02479">
        <w:rPr>
          <w:rFonts w:cstheme="minorHAnsi"/>
          <w:b/>
          <w:bCs/>
        </w:rPr>
        <w:t>individual moral responsibility</w:t>
      </w:r>
      <w:r w:rsidRPr="00986533">
        <w:rPr>
          <w:rFonts w:cstheme="minorHAnsi"/>
        </w:rPr>
        <w:t xml:space="preserve"> (</w:t>
      </w:r>
      <w:hyperlink r:id="rId10" w:history="1">
        <w:r w:rsidRPr="00B01F08">
          <w:rPr>
            <w:rStyle w:val="Hyperlink"/>
            <w:rFonts w:cstheme="minorHAnsi"/>
          </w:rPr>
          <w:t>who do we save</w:t>
        </w:r>
      </w:hyperlink>
      <w:r w:rsidRPr="00986533">
        <w:rPr>
          <w:rFonts w:cstheme="minorHAnsi"/>
        </w:rPr>
        <w:t>? The 28 year-old who has a life ahead of her or the 58-year-old who has professional experience and institutional knowledge?</w:t>
      </w:r>
      <w:r w:rsidR="0055123E" w:rsidRPr="00986533">
        <w:rPr>
          <w:rFonts w:cstheme="minorHAnsi"/>
        </w:rPr>
        <w:t xml:space="preserve">; should folks with second homes </w:t>
      </w:r>
      <w:hyperlink r:id="rId11" w:anchor="45adb646344d" w:history="1">
        <w:r w:rsidR="0055123E" w:rsidRPr="00986533">
          <w:rPr>
            <w:rStyle w:val="Hyperlink"/>
            <w:rFonts w:cstheme="minorHAnsi"/>
          </w:rPr>
          <w:t>not visit</w:t>
        </w:r>
      </w:hyperlink>
      <w:r w:rsidR="0055123E" w:rsidRPr="00986533">
        <w:rPr>
          <w:rFonts w:cstheme="minorHAnsi"/>
        </w:rPr>
        <w:t xml:space="preserve"> rural vacation homes</w:t>
      </w:r>
      <w:r w:rsidR="00B01F08">
        <w:rPr>
          <w:rFonts w:cstheme="minorHAnsi"/>
        </w:rPr>
        <w:t xml:space="preserve"> for fear of infecting more rural, and less medically equipped communities</w:t>
      </w:r>
      <w:r w:rsidR="0055123E" w:rsidRPr="00986533">
        <w:rPr>
          <w:rFonts w:cstheme="minorHAnsi"/>
        </w:rPr>
        <w:t>?</w:t>
      </w:r>
      <w:r w:rsidRPr="00986533">
        <w:rPr>
          <w:rFonts w:cstheme="minorHAnsi"/>
        </w:rPr>
        <w:t xml:space="preserve">), </w:t>
      </w:r>
      <w:r w:rsidRPr="00F02479">
        <w:rPr>
          <w:rFonts w:cstheme="minorHAnsi"/>
          <w:b/>
          <w:bCs/>
        </w:rPr>
        <w:t>organizational responsibility</w:t>
      </w:r>
      <w:r w:rsidRPr="00986533">
        <w:rPr>
          <w:rFonts w:cstheme="minorHAnsi"/>
        </w:rPr>
        <w:t xml:space="preserve"> </w:t>
      </w:r>
      <w:r w:rsidR="00F02479">
        <w:rPr>
          <w:rFonts w:cstheme="minorHAnsi"/>
        </w:rPr>
        <w:t>amid</w:t>
      </w:r>
      <w:r w:rsidRPr="00986533">
        <w:rPr>
          <w:rFonts w:cstheme="minorHAnsi"/>
        </w:rPr>
        <w:t xml:space="preserve"> the shifting of resources from Main Street to online, from restaurants to grocery stores </w:t>
      </w:r>
      <w:r w:rsidR="00A01CDF" w:rsidRPr="00986533">
        <w:rPr>
          <w:rFonts w:cstheme="minorHAnsi"/>
        </w:rPr>
        <w:t xml:space="preserve">and through </w:t>
      </w:r>
      <w:hyperlink r:id="rId12" w:history="1">
        <w:r w:rsidR="00A01CDF" w:rsidRPr="00986533">
          <w:rPr>
            <w:rStyle w:val="Hyperlink"/>
            <w:rFonts w:cstheme="minorHAnsi"/>
          </w:rPr>
          <w:t>food banks</w:t>
        </w:r>
      </w:hyperlink>
      <w:r w:rsidR="00A01CDF" w:rsidRPr="00986533">
        <w:rPr>
          <w:rFonts w:cstheme="minorHAnsi"/>
        </w:rPr>
        <w:t xml:space="preserve"> </w:t>
      </w:r>
      <w:r w:rsidRPr="00986533">
        <w:rPr>
          <w:rFonts w:cstheme="minorHAnsi"/>
        </w:rPr>
        <w:t xml:space="preserve">(and the implications this has for </w:t>
      </w:r>
      <w:hyperlink r:id="rId13" w:history="1">
        <w:r w:rsidRPr="00986533">
          <w:rPr>
            <w:rStyle w:val="Hyperlink"/>
            <w:rFonts w:cstheme="minorHAnsi"/>
          </w:rPr>
          <w:t>agricultural supply chains</w:t>
        </w:r>
      </w:hyperlink>
      <w:r w:rsidR="0055123E" w:rsidRPr="00986533">
        <w:rPr>
          <w:rFonts w:cstheme="minorHAnsi"/>
        </w:rPr>
        <w:t xml:space="preserve">, including for </w:t>
      </w:r>
      <w:hyperlink r:id="rId14" w:history="1">
        <w:r w:rsidR="0055123E" w:rsidRPr="00986533">
          <w:rPr>
            <w:rStyle w:val="Hyperlink"/>
            <w:rFonts w:cstheme="minorHAnsi"/>
          </w:rPr>
          <w:t xml:space="preserve">farm </w:t>
        </w:r>
        <w:r w:rsidR="0055123E" w:rsidRPr="00986533">
          <w:rPr>
            <w:rStyle w:val="Hyperlink"/>
            <w:rFonts w:cstheme="minorHAnsi"/>
          </w:rPr>
          <w:lastRenderedPageBreak/>
          <w:t>workers</w:t>
        </w:r>
      </w:hyperlink>
      <w:r w:rsidR="0055123E" w:rsidRPr="00986533">
        <w:rPr>
          <w:rFonts w:cstheme="minorHAnsi"/>
        </w:rPr>
        <w:t xml:space="preserve"> who become infected or are not able to enter the country</w:t>
      </w:r>
      <w:r w:rsidR="00F02479">
        <w:rPr>
          <w:rFonts w:cstheme="minorHAnsi"/>
        </w:rPr>
        <w:t xml:space="preserve">, and global supply chains in general, </w:t>
      </w:r>
      <w:hyperlink r:id="rId15" w:history="1">
        <w:proofErr w:type="spellStart"/>
        <w:r w:rsidR="00F02479" w:rsidRPr="00F02479">
          <w:rPr>
            <w:rStyle w:val="Hyperlink"/>
            <w:rFonts w:cstheme="minorHAnsi"/>
          </w:rPr>
          <w:t>Dolsak</w:t>
        </w:r>
        <w:proofErr w:type="spellEnd"/>
        <w:r w:rsidR="00F02479" w:rsidRPr="00F02479">
          <w:rPr>
            <w:rStyle w:val="Hyperlink"/>
            <w:rFonts w:cstheme="minorHAnsi"/>
          </w:rPr>
          <w:t xml:space="preserve"> &amp; Prakash</w:t>
        </w:r>
      </w:hyperlink>
      <w:r w:rsidR="00F02479">
        <w:rPr>
          <w:rFonts w:cstheme="minorHAnsi"/>
        </w:rPr>
        <w:t>, 2020</w:t>
      </w:r>
      <w:r w:rsidR="00D22C7D">
        <w:rPr>
          <w:rFonts w:cstheme="minorHAnsi"/>
        </w:rPr>
        <w:t xml:space="preserve">; </w:t>
      </w:r>
      <w:hyperlink r:id="rId16" w:history="1">
        <w:r w:rsidR="00D22C7D" w:rsidRPr="00D22C7D">
          <w:rPr>
            <w:rStyle w:val="Hyperlink"/>
            <w:rFonts w:cstheme="minorHAnsi"/>
          </w:rPr>
          <w:t>Crane</w:t>
        </w:r>
      </w:hyperlink>
      <w:r w:rsidR="00D22C7D">
        <w:rPr>
          <w:rFonts w:cstheme="minorHAnsi"/>
        </w:rPr>
        <w:t>, 2020</w:t>
      </w:r>
      <w:r w:rsidRPr="00986533">
        <w:rPr>
          <w:rFonts w:cstheme="minorHAnsi"/>
        </w:rPr>
        <w:t xml:space="preserve">), </w:t>
      </w:r>
      <w:r w:rsidRPr="00F02479">
        <w:rPr>
          <w:rFonts w:cstheme="minorHAnsi"/>
          <w:b/>
          <w:bCs/>
        </w:rPr>
        <w:t>societal responsibility</w:t>
      </w:r>
      <w:r w:rsidR="0055123E" w:rsidRPr="00986533">
        <w:rPr>
          <w:rFonts w:cstheme="minorHAnsi"/>
        </w:rPr>
        <w:t xml:space="preserve"> </w:t>
      </w:r>
      <w:r w:rsidR="00F02479">
        <w:rPr>
          <w:rFonts w:cstheme="minorHAnsi"/>
        </w:rPr>
        <w:t>[</w:t>
      </w:r>
      <w:r w:rsidR="0055123E" w:rsidRPr="00986533">
        <w:rPr>
          <w:rFonts w:cstheme="minorHAnsi"/>
        </w:rPr>
        <w:t xml:space="preserve">major media sources granting free access to coronavirus-related news; </w:t>
      </w:r>
      <w:hyperlink r:id="rId17" w:history="1">
        <w:r w:rsidR="0055123E" w:rsidRPr="00986533">
          <w:rPr>
            <w:rStyle w:val="Hyperlink"/>
            <w:rFonts w:cstheme="minorHAnsi"/>
          </w:rPr>
          <w:t>national security threats</w:t>
        </w:r>
      </w:hyperlink>
      <w:r w:rsidR="0055123E" w:rsidRPr="00986533">
        <w:rPr>
          <w:rFonts w:cstheme="minorHAnsi"/>
        </w:rPr>
        <w:t xml:space="preserve"> (as military members become ill); </w:t>
      </w:r>
      <w:hyperlink r:id="rId18" w:history="1">
        <w:r w:rsidR="005C5CA5" w:rsidRPr="005C5CA5">
          <w:rPr>
            <w:rStyle w:val="Hyperlink"/>
            <w:rFonts w:cstheme="minorHAnsi"/>
          </w:rPr>
          <w:t>threats to democracy</w:t>
        </w:r>
      </w:hyperlink>
      <w:r w:rsidR="0055123E" w:rsidRPr="00986533">
        <w:rPr>
          <w:rFonts w:cstheme="minorHAnsi"/>
        </w:rPr>
        <w:t xml:space="preserve">, threats of civil unrest (as </w:t>
      </w:r>
      <w:hyperlink r:id="rId19" w:history="1">
        <w:r w:rsidR="0055123E" w:rsidRPr="001C44AE">
          <w:rPr>
            <w:rStyle w:val="Hyperlink"/>
            <w:rFonts w:cstheme="minorHAnsi"/>
          </w:rPr>
          <w:t>gun sales</w:t>
        </w:r>
      </w:hyperlink>
      <w:r w:rsidR="0055123E" w:rsidRPr="00986533">
        <w:rPr>
          <w:rFonts w:cstheme="minorHAnsi"/>
        </w:rPr>
        <w:t xml:space="preserve"> explode)</w:t>
      </w:r>
      <w:r w:rsidR="00F02479">
        <w:rPr>
          <w:rFonts w:cstheme="minorHAnsi"/>
        </w:rPr>
        <w:t>]</w:t>
      </w:r>
      <w:r w:rsidRPr="00986533">
        <w:rPr>
          <w:rFonts w:cstheme="minorHAnsi"/>
        </w:rPr>
        <w:t xml:space="preserve">, and </w:t>
      </w:r>
      <w:r w:rsidRPr="00F02479">
        <w:rPr>
          <w:rFonts w:cstheme="minorHAnsi"/>
          <w:b/>
          <w:bCs/>
        </w:rPr>
        <w:t>systemic responsibility</w:t>
      </w:r>
      <w:r w:rsidR="00F02479">
        <w:rPr>
          <w:rFonts w:cstheme="minorHAnsi"/>
          <w:b/>
          <w:bCs/>
        </w:rPr>
        <w:t xml:space="preserve"> </w:t>
      </w:r>
      <w:r w:rsidR="00F02479">
        <w:rPr>
          <w:rFonts w:cstheme="minorHAnsi"/>
        </w:rPr>
        <w:t xml:space="preserve">(what does our response to COVID-19 </w:t>
      </w:r>
      <w:r w:rsidR="00B01F08">
        <w:rPr>
          <w:rFonts w:cstheme="minorHAnsi"/>
        </w:rPr>
        <w:t>imply for response to</w:t>
      </w:r>
      <w:r w:rsidR="00F02479">
        <w:rPr>
          <w:rFonts w:cstheme="minorHAnsi"/>
        </w:rPr>
        <w:t xml:space="preserve"> other existential crises, </w:t>
      </w:r>
      <w:r w:rsidR="00B01F08">
        <w:rPr>
          <w:rFonts w:cstheme="minorHAnsi"/>
        </w:rPr>
        <w:t>namely</w:t>
      </w:r>
      <w:r w:rsidR="00F02479">
        <w:rPr>
          <w:rFonts w:cstheme="minorHAnsi"/>
        </w:rPr>
        <w:t xml:space="preserve"> climate change, </w:t>
      </w:r>
      <w:hyperlink r:id="rId20" w:history="1">
        <w:r w:rsidR="00F02479" w:rsidRPr="00F02479">
          <w:rPr>
            <w:rStyle w:val="Hyperlink"/>
            <w:rFonts w:cstheme="minorHAnsi"/>
          </w:rPr>
          <w:t>Hoffman &amp; Jennings</w:t>
        </w:r>
      </w:hyperlink>
      <w:r w:rsidR="00F02479">
        <w:rPr>
          <w:rFonts w:cstheme="minorHAnsi"/>
        </w:rPr>
        <w:t>, 2020; )?</w:t>
      </w:r>
      <w:r w:rsidRPr="00986533">
        <w:rPr>
          <w:rFonts w:cstheme="minorHAnsi"/>
        </w:rPr>
        <w:t xml:space="preserve"> Articles can examine primary impacts as well as ripple effects (e.g., the loss of wages in third-world countries as first-world countries close retailers; the impact of lost funds </w:t>
      </w:r>
      <w:r w:rsidR="0055123E" w:rsidRPr="00986533">
        <w:rPr>
          <w:rFonts w:cstheme="minorHAnsi"/>
        </w:rPr>
        <w:t xml:space="preserve">as </w:t>
      </w:r>
      <w:hyperlink r:id="rId21" w:history="1">
        <w:r w:rsidR="0055123E" w:rsidRPr="00986533">
          <w:rPr>
            <w:rStyle w:val="Hyperlink"/>
            <w:rFonts w:cstheme="minorHAnsi"/>
          </w:rPr>
          <w:t>remittances decline</w:t>
        </w:r>
      </w:hyperlink>
      <w:r w:rsidR="001C44AE">
        <w:rPr>
          <w:rFonts w:cstheme="minorHAnsi"/>
        </w:rPr>
        <w:t xml:space="preserve">; the rise in </w:t>
      </w:r>
      <w:r w:rsidR="001C44AE" w:rsidRPr="00986533">
        <w:rPr>
          <w:rFonts w:cstheme="minorHAnsi"/>
        </w:rPr>
        <w:t xml:space="preserve">global </w:t>
      </w:r>
      <w:hyperlink r:id="rId22" w:history="1">
        <w:r w:rsidR="001C44AE" w:rsidRPr="00986533">
          <w:rPr>
            <w:rStyle w:val="Hyperlink"/>
            <w:rFonts w:cstheme="minorHAnsi"/>
          </w:rPr>
          <w:t>domestic abuse</w:t>
        </w:r>
      </w:hyperlink>
      <w:r w:rsidR="001C44AE" w:rsidRPr="00986533">
        <w:rPr>
          <w:rFonts w:cstheme="minorHAnsi"/>
        </w:rPr>
        <w:t xml:space="preserve"> as people stay home</w:t>
      </w:r>
      <w:r w:rsidRPr="00986533">
        <w:rPr>
          <w:rFonts w:cstheme="minorHAnsi"/>
        </w:rPr>
        <w:t xml:space="preserve">). </w:t>
      </w:r>
      <w:r w:rsidR="00EE5378" w:rsidRPr="00986533">
        <w:rPr>
          <w:rFonts w:cstheme="minorHAnsi"/>
        </w:rPr>
        <w:t xml:space="preserve">Articles can examine how business models change to incorporate a socially responsible </w:t>
      </w:r>
      <w:r w:rsidR="009D6947" w:rsidRPr="00986533">
        <w:rPr>
          <w:rFonts w:cstheme="minorHAnsi"/>
        </w:rPr>
        <w:t>response</w:t>
      </w:r>
      <w:r w:rsidR="00BA2501" w:rsidRPr="00986533">
        <w:rPr>
          <w:rFonts w:cstheme="minorHAnsi"/>
        </w:rPr>
        <w:t xml:space="preserve"> in a post-COVID-19 environment. Will organizations experience posttraumatic stress (Williams &amp; Williams, 2020)? </w:t>
      </w:r>
      <w:r w:rsidRPr="00986533">
        <w:rPr>
          <w:rFonts w:cstheme="minorHAnsi"/>
        </w:rPr>
        <w:t>We strongly encourage insight from outside of the U.S.</w:t>
      </w:r>
      <w:r w:rsidR="00A604C8" w:rsidRPr="00986533">
        <w:rPr>
          <w:rFonts w:cstheme="minorHAnsi"/>
        </w:rPr>
        <w:t xml:space="preserve"> </w:t>
      </w:r>
    </w:p>
    <w:p w14:paraId="748A320A" w14:textId="77777777" w:rsidR="00D63561" w:rsidRPr="00986533" w:rsidRDefault="00D63561" w:rsidP="00D63561">
      <w:pPr>
        <w:rPr>
          <w:rFonts w:cstheme="minorHAnsi"/>
        </w:rPr>
      </w:pPr>
    </w:p>
    <w:p w14:paraId="3E2351B0" w14:textId="33060355" w:rsidR="00CE2BD6" w:rsidRPr="00986533" w:rsidRDefault="009D6947" w:rsidP="00340325">
      <w:pPr>
        <w:rPr>
          <w:rFonts w:cstheme="minorHAnsi"/>
        </w:rPr>
      </w:pPr>
      <w:r w:rsidRPr="00986533">
        <w:rPr>
          <w:rFonts w:cstheme="minorHAnsi"/>
        </w:rPr>
        <w:t>Additional to</w:t>
      </w:r>
      <w:r w:rsidR="00CE2BD6" w:rsidRPr="00986533">
        <w:rPr>
          <w:rFonts w:cstheme="minorHAnsi"/>
        </w:rPr>
        <w:t>pics might include:</w:t>
      </w:r>
    </w:p>
    <w:p w14:paraId="5335062C" w14:textId="77777777" w:rsidR="001C44AE" w:rsidRPr="00986533" w:rsidRDefault="001C44AE" w:rsidP="001C44AE">
      <w:pPr>
        <w:pStyle w:val="ListParagraph"/>
        <w:numPr>
          <w:ilvl w:val="0"/>
          <w:numId w:val="11"/>
        </w:numPr>
        <w:rPr>
          <w:rFonts w:cstheme="minorHAnsi"/>
        </w:rPr>
      </w:pPr>
      <w:r w:rsidRPr="00986533">
        <w:rPr>
          <w:rFonts w:cstheme="minorHAnsi"/>
        </w:rPr>
        <w:t xml:space="preserve">Wicked problems: </w:t>
      </w:r>
    </w:p>
    <w:p w14:paraId="343A9BB4" w14:textId="77777777" w:rsidR="001C44AE" w:rsidRPr="00986533" w:rsidRDefault="001C44AE" w:rsidP="001C44AE">
      <w:pPr>
        <w:pStyle w:val="ListParagraph"/>
        <w:numPr>
          <w:ilvl w:val="1"/>
          <w:numId w:val="11"/>
        </w:numPr>
        <w:rPr>
          <w:rFonts w:cstheme="minorHAnsi"/>
        </w:rPr>
      </w:pPr>
      <w:r w:rsidRPr="00986533">
        <w:rPr>
          <w:rFonts w:cstheme="minorHAnsi"/>
        </w:rPr>
        <w:t>How do we understand the complexity of COVID-19 through organizational logics (Greenwood et al., 2010)?</w:t>
      </w:r>
    </w:p>
    <w:p w14:paraId="47741A70" w14:textId="77777777" w:rsidR="001C44AE" w:rsidRPr="00986533" w:rsidRDefault="001C44AE" w:rsidP="001C44AE">
      <w:pPr>
        <w:pStyle w:val="ListParagraph"/>
        <w:numPr>
          <w:ilvl w:val="1"/>
          <w:numId w:val="11"/>
        </w:numPr>
        <w:rPr>
          <w:rFonts w:cstheme="minorHAnsi"/>
        </w:rPr>
      </w:pPr>
      <w:r w:rsidRPr="00986533">
        <w:rPr>
          <w:rFonts w:cstheme="minorHAnsi"/>
        </w:rPr>
        <w:t>What paradigm shits might we expect to see (</w:t>
      </w:r>
      <w:proofErr w:type="spellStart"/>
      <w:r w:rsidRPr="00986533">
        <w:rPr>
          <w:rFonts w:cstheme="minorHAnsi"/>
        </w:rPr>
        <w:t>Tanega</w:t>
      </w:r>
      <w:proofErr w:type="spellEnd"/>
      <w:r w:rsidRPr="00986533">
        <w:rPr>
          <w:rFonts w:cstheme="minorHAnsi"/>
        </w:rPr>
        <w:t xml:space="preserve">, Taneja, &amp; Gupta, 2011; </w:t>
      </w:r>
      <w:proofErr w:type="spellStart"/>
      <w:r w:rsidRPr="00986533">
        <w:rPr>
          <w:rFonts w:cstheme="minorHAnsi"/>
        </w:rPr>
        <w:t>Aguinis</w:t>
      </w:r>
      <w:proofErr w:type="spellEnd"/>
      <w:r w:rsidRPr="00986533">
        <w:rPr>
          <w:rFonts w:cstheme="minorHAnsi"/>
        </w:rPr>
        <w:t xml:space="preserve"> &amp; </w:t>
      </w:r>
      <w:proofErr w:type="spellStart"/>
      <w:r w:rsidRPr="00986533">
        <w:rPr>
          <w:rFonts w:cstheme="minorHAnsi"/>
        </w:rPr>
        <w:t>Glavas</w:t>
      </w:r>
      <w:proofErr w:type="spellEnd"/>
      <w:r w:rsidRPr="00986533">
        <w:rPr>
          <w:rFonts w:cstheme="minorHAnsi"/>
        </w:rPr>
        <w:t>, 2012)?</w:t>
      </w:r>
    </w:p>
    <w:p w14:paraId="26073D29" w14:textId="77777777" w:rsidR="009D6947" w:rsidRPr="00986533" w:rsidRDefault="009D6947" w:rsidP="00D63561">
      <w:pPr>
        <w:pStyle w:val="ListParagraph"/>
        <w:numPr>
          <w:ilvl w:val="0"/>
          <w:numId w:val="11"/>
        </w:numPr>
        <w:rPr>
          <w:rFonts w:cstheme="minorHAnsi"/>
        </w:rPr>
      </w:pPr>
      <w:r w:rsidRPr="00986533">
        <w:rPr>
          <w:rFonts w:cstheme="minorHAnsi"/>
        </w:rPr>
        <w:t>Crisis management:</w:t>
      </w:r>
    </w:p>
    <w:p w14:paraId="3055302F" w14:textId="433CA273" w:rsidR="00D63561" w:rsidRPr="00986533" w:rsidRDefault="00D63561" w:rsidP="009D6947">
      <w:pPr>
        <w:pStyle w:val="ListParagraph"/>
        <w:numPr>
          <w:ilvl w:val="1"/>
          <w:numId w:val="11"/>
        </w:numPr>
        <w:rPr>
          <w:rFonts w:cstheme="minorHAnsi"/>
        </w:rPr>
      </w:pPr>
      <w:r w:rsidRPr="00986533">
        <w:rPr>
          <w:rFonts w:cstheme="minorHAnsi"/>
        </w:rPr>
        <w:t xml:space="preserve">What does </w:t>
      </w:r>
      <w:r w:rsidR="001C44AE">
        <w:rPr>
          <w:rFonts w:cstheme="minorHAnsi"/>
        </w:rPr>
        <w:t>COVID-19</w:t>
      </w:r>
      <w:r w:rsidRPr="00986533">
        <w:rPr>
          <w:rFonts w:cstheme="minorHAnsi"/>
        </w:rPr>
        <w:t xml:space="preserve"> tell us about crisis management</w:t>
      </w:r>
      <w:r w:rsidR="00FC093B" w:rsidRPr="00986533">
        <w:rPr>
          <w:rFonts w:cstheme="minorHAnsi"/>
        </w:rPr>
        <w:t xml:space="preserve"> (Bundy et al., 2017)</w:t>
      </w:r>
      <w:r w:rsidRPr="00986533">
        <w:rPr>
          <w:rFonts w:cstheme="minorHAnsi"/>
        </w:rPr>
        <w:t>?</w:t>
      </w:r>
    </w:p>
    <w:p w14:paraId="7B70BE9B" w14:textId="08EDFEA0" w:rsidR="009D6947" w:rsidRPr="00986533" w:rsidRDefault="009D6947" w:rsidP="009D6947">
      <w:pPr>
        <w:pStyle w:val="NormalWeb"/>
        <w:numPr>
          <w:ilvl w:val="1"/>
          <w:numId w:val="11"/>
        </w:numPr>
        <w:rPr>
          <w:rFonts w:asciiTheme="minorHAnsi" w:hAnsiTheme="minorHAnsi" w:cstheme="minorHAnsi"/>
        </w:rPr>
      </w:pPr>
      <w:r w:rsidRPr="00986533">
        <w:rPr>
          <w:rFonts w:asciiTheme="minorHAnsi" w:hAnsiTheme="minorHAnsi" w:cstheme="minorHAnsi"/>
        </w:rPr>
        <w:t>How is COVID-19 a natural disaster crisis that was exacerbated by a failure of leadership</w:t>
      </w:r>
      <w:r w:rsidR="00FC093B" w:rsidRPr="00986533">
        <w:rPr>
          <w:rFonts w:asciiTheme="minorHAnsi" w:hAnsiTheme="minorHAnsi" w:cstheme="minorHAnsi"/>
        </w:rPr>
        <w:t xml:space="preserve"> (</w:t>
      </w:r>
      <w:proofErr w:type="spellStart"/>
      <w:r w:rsidR="00FC093B" w:rsidRPr="00986533">
        <w:rPr>
          <w:rFonts w:asciiTheme="minorHAnsi" w:hAnsiTheme="minorHAnsi" w:cstheme="minorHAnsi"/>
        </w:rPr>
        <w:t>Mitroff</w:t>
      </w:r>
      <w:proofErr w:type="spellEnd"/>
      <w:r w:rsidR="00FC093B" w:rsidRPr="00986533">
        <w:rPr>
          <w:rFonts w:asciiTheme="minorHAnsi" w:hAnsiTheme="minorHAnsi" w:cstheme="minorHAnsi"/>
        </w:rPr>
        <w:t>, 2004)</w:t>
      </w:r>
      <w:r w:rsidRPr="00986533">
        <w:rPr>
          <w:rFonts w:asciiTheme="minorHAnsi" w:hAnsiTheme="minorHAnsi" w:cstheme="minorHAnsi"/>
        </w:rPr>
        <w:t>?</w:t>
      </w:r>
    </w:p>
    <w:p w14:paraId="698FD14F" w14:textId="77777777" w:rsidR="009D6947" w:rsidRPr="00986533" w:rsidRDefault="009D6947" w:rsidP="00D63561">
      <w:pPr>
        <w:pStyle w:val="ListParagraph"/>
        <w:numPr>
          <w:ilvl w:val="0"/>
          <w:numId w:val="11"/>
        </w:numPr>
        <w:rPr>
          <w:rFonts w:cstheme="minorHAnsi"/>
        </w:rPr>
      </w:pPr>
      <w:r w:rsidRPr="00986533">
        <w:rPr>
          <w:rFonts w:cstheme="minorHAnsi"/>
        </w:rPr>
        <w:t>Ethical trade-offs:</w:t>
      </w:r>
    </w:p>
    <w:p w14:paraId="0CBF84BE" w14:textId="617F3E8F" w:rsidR="00D63561" w:rsidRPr="00986533" w:rsidRDefault="00D63561" w:rsidP="009D6947">
      <w:pPr>
        <w:pStyle w:val="ListParagraph"/>
        <w:numPr>
          <w:ilvl w:val="1"/>
          <w:numId w:val="11"/>
        </w:numPr>
        <w:rPr>
          <w:rFonts w:cstheme="minorHAnsi"/>
        </w:rPr>
      </w:pPr>
      <w:r w:rsidRPr="00986533">
        <w:rPr>
          <w:rFonts w:cstheme="minorHAnsi"/>
        </w:rPr>
        <w:t xml:space="preserve">What is the public good when public health butts up against public wealth? When people are unable to not work? Or forced to work without </w:t>
      </w:r>
      <w:r w:rsidR="00E25DE0" w:rsidRPr="00986533">
        <w:rPr>
          <w:rFonts w:cstheme="minorHAnsi"/>
        </w:rPr>
        <w:t xml:space="preserve">personal </w:t>
      </w:r>
      <w:r w:rsidRPr="00986533">
        <w:rPr>
          <w:rFonts w:cstheme="minorHAnsi"/>
        </w:rPr>
        <w:t>protecti</w:t>
      </w:r>
      <w:r w:rsidR="00E25DE0" w:rsidRPr="00986533">
        <w:rPr>
          <w:rFonts w:cstheme="minorHAnsi"/>
        </w:rPr>
        <w:t>ve equipment</w:t>
      </w:r>
      <w:r w:rsidRPr="00986533">
        <w:rPr>
          <w:rFonts w:cstheme="minorHAnsi"/>
        </w:rPr>
        <w:t>?</w:t>
      </w:r>
    </w:p>
    <w:p w14:paraId="2183382E" w14:textId="5343EB4C" w:rsidR="009D6947" w:rsidRPr="00986533" w:rsidRDefault="009D6947" w:rsidP="009D6947">
      <w:pPr>
        <w:pStyle w:val="ListParagraph"/>
        <w:numPr>
          <w:ilvl w:val="1"/>
          <w:numId w:val="11"/>
        </w:numPr>
        <w:rPr>
          <w:rFonts w:cstheme="minorHAnsi"/>
        </w:rPr>
      </w:pPr>
      <w:r w:rsidRPr="00986533">
        <w:rPr>
          <w:rFonts w:cstheme="minorHAnsi"/>
        </w:rPr>
        <w:t xml:space="preserve">Do companies layoff their employees? Or battle for a piece of the </w:t>
      </w:r>
      <w:hyperlink r:id="rId23" w:history="1">
        <w:r w:rsidRPr="00986533">
          <w:rPr>
            <w:rStyle w:val="Hyperlink"/>
            <w:rFonts w:cstheme="minorHAnsi"/>
          </w:rPr>
          <w:t xml:space="preserve">CARES </w:t>
        </w:r>
        <w:r w:rsidR="007000B2" w:rsidRPr="00986533">
          <w:rPr>
            <w:rStyle w:val="Hyperlink"/>
            <w:rFonts w:cstheme="minorHAnsi"/>
          </w:rPr>
          <w:t>Act</w:t>
        </w:r>
      </w:hyperlink>
      <w:r w:rsidRPr="00986533">
        <w:rPr>
          <w:rFonts w:cstheme="minorHAnsi"/>
        </w:rPr>
        <w:t xml:space="preserve"> for small business? What are the socially responsible trade-offs? Should a company not apply for funding if in doing so it takes away funds from other companies who might be more in need?</w:t>
      </w:r>
    </w:p>
    <w:p w14:paraId="7C98E543" w14:textId="2DFF6C88" w:rsidR="009D6947" w:rsidRPr="00986533" w:rsidRDefault="009D6947" w:rsidP="009D6947">
      <w:pPr>
        <w:pStyle w:val="ListParagraph"/>
        <w:numPr>
          <w:ilvl w:val="1"/>
          <w:numId w:val="11"/>
        </w:numPr>
        <w:rPr>
          <w:rFonts w:cstheme="minorHAnsi"/>
        </w:rPr>
      </w:pPr>
      <w:r w:rsidRPr="00986533">
        <w:rPr>
          <w:rFonts w:cstheme="minorHAnsi"/>
        </w:rPr>
        <w:t>What is an essential business: gun stores? Abortion providers?</w:t>
      </w:r>
    </w:p>
    <w:p w14:paraId="263C62B1" w14:textId="6A8390A7" w:rsidR="009D6947" w:rsidRPr="00986533" w:rsidRDefault="009D6947" w:rsidP="00D63561">
      <w:pPr>
        <w:pStyle w:val="ListParagraph"/>
        <w:numPr>
          <w:ilvl w:val="0"/>
          <w:numId w:val="11"/>
        </w:numPr>
        <w:rPr>
          <w:rFonts w:cstheme="minorHAnsi"/>
        </w:rPr>
      </w:pPr>
      <w:r w:rsidRPr="00986533">
        <w:rPr>
          <w:rFonts w:cstheme="minorHAnsi"/>
        </w:rPr>
        <w:t>Implications for a wide range of stakeholders:</w:t>
      </w:r>
    </w:p>
    <w:p w14:paraId="2A542EF6" w14:textId="08C68D79" w:rsidR="00D63561" w:rsidRPr="00986533" w:rsidRDefault="00D63561" w:rsidP="009D6947">
      <w:pPr>
        <w:pStyle w:val="ListParagraph"/>
        <w:numPr>
          <w:ilvl w:val="1"/>
          <w:numId w:val="11"/>
        </w:numPr>
        <w:rPr>
          <w:rFonts w:cstheme="minorHAnsi"/>
        </w:rPr>
      </w:pPr>
      <w:r w:rsidRPr="00986533">
        <w:rPr>
          <w:rFonts w:cstheme="minorHAnsi"/>
        </w:rPr>
        <w:t>What has been the impact on people in healthcare: patients with COVID-19, patients without COVID-19 (whose care likely suffers as resources are directed elsewhere), healthcare workers who either work with COVID-19 patients or who fear that by working with non-COVID-19 patients they will contract COVID-19</w:t>
      </w:r>
      <w:r w:rsidR="00B01F08">
        <w:rPr>
          <w:rFonts w:cstheme="minorHAnsi"/>
        </w:rPr>
        <w:t xml:space="preserve"> or transmit it</w:t>
      </w:r>
      <w:r w:rsidRPr="00986533">
        <w:rPr>
          <w:rFonts w:cstheme="minorHAnsi"/>
        </w:rPr>
        <w:t>?</w:t>
      </w:r>
    </w:p>
    <w:p w14:paraId="40ACEBD5" w14:textId="77777777" w:rsidR="009D6947" w:rsidRPr="00986533" w:rsidRDefault="009D6947" w:rsidP="009D6947">
      <w:pPr>
        <w:pStyle w:val="NormalWeb"/>
        <w:numPr>
          <w:ilvl w:val="1"/>
          <w:numId w:val="11"/>
        </w:numPr>
        <w:rPr>
          <w:rFonts w:asciiTheme="minorHAnsi" w:hAnsiTheme="minorHAnsi" w:cstheme="minorHAnsi"/>
        </w:rPr>
      </w:pPr>
      <w:r w:rsidRPr="00986533">
        <w:rPr>
          <w:rFonts w:asciiTheme="minorHAnsi" w:hAnsiTheme="minorHAnsi" w:cstheme="minorHAnsi"/>
        </w:rPr>
        <w:t>What are the implications for nonprofits, the arts, the role of the media?</w:t>
      </w:r>
    </w:p>
    <w:p w14:paraId="4CCC3B32" w14:textId="5207B8D7" w:rsidR="009D6947" w:rsidRPr="00986533" w:rsidRDefault="009D6947" w:rsidP="009D6947">
      <w:pPr>
        <w:pStyle w:val="ListParagraph"/>
        <w:numPr>
          <w:ilvl w:val="1"/>
          <w:numId w:val="11"/>
        </w:numPr>
        <w:rPr>
          <w:rFonts w:cstheme="minorHAnsi"/>
        </w:rPr>
      </w:pPr>
      <w:r w:rsidRPr="00986533">
        <w:rPr>
          <w:rFonts w:cstheme="minorHAnsi"/>
        </w:rPr>
        <w:t>Do different stakeholders hold unique responsibilities? What implications does COVID-19 have for the major theories in business and society, such as stakeholder theory?</w:t>
      </w:r>
    </w:p>
    <w:p w14:paraId="4E50A843" w14:textId="68137068" w:rsidR="009D6947" w:rsidRPr="00986533" w:rsidRDefault="009D6947" w:rsidP="009D6947">
      <w:pPr>
        <w:pStyle w:val="ListParagraph"/>
        <w:numPr>
          <w:ilvl w:val="0"/>
          <w:numId w:val="11"/>
        </w:numPr>
        <w:rPr>
          <w:rFonts w:cstheme="minorHAnsi"/>
        </w:rPr>
      </w:pPr>
      <w:r w:rsidRPr="00986533">
        <w:rPr>
          <w:rFonts w:cstheme="minorHAnsi"/>
        </w:rPr>
        <w:t>Social enterprises, small business, family business:</w:t>
      </w:r>
    </w:p>
    <w:p w14:paraId="7A9A6735" w14:textId="6FF7DDA0" w:rsidR="00D63561" w:rsidRPr="00986533" w:rsidRDefault="00D63561" w:rsidP="009D6947">
      <w:pPr>
        <w:pStyle w:val="ListParagraph"/>
        <w:numPr>
          <w:ilvl w:val="1"/>
          <w:numId w:val="11"/>
        </w:numPr>
        <w:rPr>
          <w:rFonts w:cstheme="minorHAnsi"/>
        </w:rPr>
      </w:pPr>
      <w:r w:rsidRPr="00986533">
        <w:rPr>
          <w:rFonts w:cstheme="minorHAnsi"/>
        </w:rPr>
        <w:lastRenderedPageBreak/>
        <w:t>How have social enterprises and</w:t>
      </w:r>
      <w:r w:rsidR="00B01F08">
        <w:rPr>
          <w:rFonts w:cstheme="minorHAnsi"/>
        </w:rPr>
        <w:t xml:space="preserve"> self-defined</w:t>
      </w:r>
      <w:r w:rsidRPr="00986533">
        <w:rPr>
          <w:rFonts w:cstheme="minorHAnsi"/>
        </w:rPr>
        <w:t xml:space="preserve"> socially responsible companies cared for their employees in light of COVID-19? Do employee-owned and/or B corps fare better</w:t>
      </w:r>
      <w:r w:rsidR="00996E66" w:rsidRPr="00986533">
        <w:rPr>
          <w:rFonts w:cstheme="minorHAnsi"/>
        </w:rPr>
        <w:t xml:space="preserve"> (Kurland, 2018)</w:t>
      </w:r>
      <w:r w:rsidRPr="00986533">
        <w:rPr>
          <w:rFonts w:cstheme="minorHAnsi"/>
        </w:rPr>
        <w:t xml:space="preserve">? Or care more for their stakeholders? </w:t>
      </w:r>
    </w:p>
    <w:p w14:paraId="6E533164" w14:textId="6403F81F" w:rsidR="009D6947" w:rsidRPr="00986533" w:rsidRDefault="009D6947" w:rsidP="009D6947">
      <w:pPr>
        <w:pStyle w:val="NormalWeb"/>
        <w:numPr>
          <w:ilvl w:val="1"/>
          <w:numId w:val="11"/>
        </w:numPr>
        <w:rPr>
          <w:rFonts w:asciiTheme="minorHAnsi" w:hAnsiTheme="minorHAnsi" w:cstheme="minorHAnsi"/>
        </w:rPr>
      </w:pPr>
      <w:r w:rsidRPr="00986533">
        <w:rPr>
          <w:rFonts w:asciiTheme="minorHAnsi" w:hAnsiTheme="minorHAnsi" w:cstheme="minorHAnsi"/>
        </w:rPr>
        <w:t>What are the implications for entrepreneurship (rash of innovations in response to crisis</w:t>
      </w:r>
      <w:r w:rsidR="001C44AE">
        <w:rPr>
          <w:rFonts w:asciiTheme="minorHAnsi" w:hAnsiTheme="minorHAnsi" w:cstheme="minorHAnsi"/>
        </w:rPr>
        <w:t>?</w:t>
      </w:r>
      <w:r w:rsidRPr="00986533">
        <w:rPr>
          <w:rFonts w:asciiTheme="minorHAnsi" w:hAnsiTheme="minorHAnsi" w:cstheme="minorHAnsi"/>
        </w:rPr>
        <w:t xml:space="preserve"> disruption of gig economy</w:t>
      </w:r>
      <w:r w:rsidR="001C44AE">
        <w:rPr>
          <w:rFonts w:asciiTheme="minorHAnsi" w:hAnsiTheme="minorHAnsi" w:cstheme="minorHAnsi"/>
        </w:rPr>
        <w:t>?</w:t>
      </w:r>
      <w:r w:rsidRPr="00986533">
        <w:rPr>
          <w:rFonts w:asciiTheme="minorHAnsi" w:hAnsiTheme="minorHAnsi" w:cstheme="minorHAnsi"/>
        </w:rPr>
        <w:t>), for family business (civic wealth creation</w:t>
      </w:r>
      <w:r w:rsidR="001C44AE">
        <w:rPr>
          <w:rFonts w:asciiTheme="minorHAnsi" w:hAnsiTheme="minorHAnsi" w:cstheme="minorHAnsi"/>
        </w:rPr>
        <w:t xml:space="preserve">, Lumpkin &amp; </w:t>
      </w:r>
      <w:proofErr w:type="spellStart"/>
      <w:r w:rsidR="001C44AE">
        <w:rPr>
          <w:rFonts w:asciiTheme="minorHAnsi" w:hAnsiTheme="minorHAnsi" w:cstheme="minorHAnsi"/>
        </w:rPr>
        <w:t>Bacq</w:t>
      </w:r>
      <w:proofErr w:type="spellEnd"/>
      <w:r w:rsidR="001C44AE">
        <w:rPr>
          <w:rFonts w:asciiTheme="minorHAnsi" w:hAnsiTheme="minorHAnsi" w:cstheme="minorHAnsi"/>
        </w:rPr>
        <w:t>, 2019</w:t>
      </w:r>
      <w:r w:rsidRPr="00986533">
        <w:rPr>
          <w:rFonts w:asciiTheme="minorHAnsi" w:hAnsiTheme="minorHAnsi" w:cstheme="minorHAnsi"/>
        </w:rPr>
        <w:t xml:space="preserve">? Community </w:t>
      </w:r>
      <w:r w:rsidR="000404C4">
        <w:rPr>
          <w:rFonts w:asciiTheme="minorHAnsi" w:hAnsiTheme="minorHAnsi" w:cstheme="minorHAnsi"/>
        </w:rPr>
        <w:t>socio-emotional wealth</w:t>
      </w:r>
      <w:r w:rsidR="00B0540C">
        <w:rPr>
          <w:rFonts w:asciiTheme="minorHAnsi" w:hAnsiTheme="minorHAnsi" w:cstheme="minorHAnsi"/>
        </w:rPr>
        <w:t xml:space="preserve">, </w:t>
      </w:r>
      <w:r w:rsidRPr="00986533">
        <w:rPr>
          <w:rFonts w:asciiTheme="minorHAnsi" w:hAnsiTheme="minorHAnsi" w:cstheme="minorHAnsi"/>
        </w:rPr>
        <w:t>Kurland &amp; McCaffrey, 2020</w:t>
      </w:r>
      <w:r w:rsidR="00B0540C">
        <w:rPr>
          <w:rFonts w:asciiTheme="minorHAnsi" w:hAnsiTheme="minorHAnsi" w:cstheme="minorHAnsi"/>
        </w:rPr>
        <w:t>?</w:t>
      </w:r>
      <w:r w:rsidR="00BA2501" w:rsidRPr="00986533">
        <w:rPr>
          <w:rFonts w:asciiTheme="minorHAnsi" w:hAnsiTheme="minorHAnsi" w:cstheme="minorHAnsi"/>
        </w:rPr>
        <w:t xml:space="preserve"> or supererogation and CSR</w:t>
      </w:r>
      <w:r w:rsidR="000404C4">
        <w:rPr>
          <w:rFonts w:asciiTheme="minorHAnsi" w:hAnsiTheme="minorHAnsi" w:cstheme="minorHAnsi"/>
        </w:rPr>
        <w:t>,</w:t>
      </w:r>
      <w:r w:rsidR="00B0540C">
        <w:rPr>
          <w:rFonts w:asciiTheme="minorHAnsi" w:hAnsiTheme="minorHAnsi" w:cstheme="minorHAnsi"/>
        </w:rPr>
        <w:t xml:space="preserve"> </w:t>
      </w:r>
      <w:proofErr w:type="spellStart"/>
      <w:r w:rsidR="00BA2501" w:rsidRPr="00986533">
        <w:rPr>
          <w:rFonts w:asciiTheme="minorHAnsi" w:hAnsiTheme="minorHAnsi" w:cstheme="minorHAnsi"/>
        </w:rPr>
        <w:t>Tencati</w:t>
      </w:r>
      <w:proofErr w:type="spellEnd"/>
      <w:r w:rsidR="00BA2501" w:rsidRPr="00986533">
        <w:rPr>
          <w:rFonts w:asciiTheme="minorHAnsi" w:hAnsiTheme="minorHAnsi" w:cstheme="minorHAnsi"/>
        </w:rPr>
        <w:t xml:space="preserve">, </w:t>
      </w:r>
      <w:proofErr w:type="spellStart"/>
      <w:r w:rsidR="00BA2501" w:rsidRPr="00986533">
        <w:rPr>
          <w:rFonts w:asciiTheme="minorHAnsi" w:hAnsiTheme="minorHAnsi" w:cstheme="minorHAnsi"/>
        </w:rPr>
        <w:t>Misandi</w:t>
      </w:r>
      <w:proofErr w:type="spellEnd"/>
      <w:r w:rsidR="00BA2501" w:rsidRPr="00986533">
        <w:rPr>
          <w:rFonts w:asciiTheme="minorHAnsi" w:hAnsiTheme="minorHAnsi" w:cstheme="minorHAnsi"/>
        </w:rPr>
        <w:t>, &amp; Castaldo, 2020</w:t>
      </w:r>
      <w:r w:rsidRPr="00986533">
        <w:rPr>
          <w:rFonts w:asciiTheme="minorHAnsi" w:hAnsiTheme="minorHAnsi" w:cstheme="minorHAnsi"/>
        </w:rPr>
        <w:t>)?</w:t>
      </w:r>
    </w:p>
    <w:p w14:paraId="71F00192" w14:textId="77777777" w:rsidR="009D6947" w:rsidRPr="00986533" w:rsidRDefault="009D6947" w:rsidP="00D63561">
      <w:pPr>
        <w:pStyle w:val="ListParagraph"/>
        <w:numPr>
          <w:ilvl w:val="0"/>
          <w:numId w:val="11"/>
        </w:numPr>
        <w:rPr>
          <w:rFonts w:cstheme="minorHAnsi"/>
        </w:rPr>
      </w:pPr>
      <w:r w:rsidRPr="00986533">
        <w:rPr>
          <w:rFonts w:cstheme="minorHAnsi"/>
        </w:rPr>
        <w:t>Impression management:</w:t>
      </w:r>
    </w:p>
    <w:p w14:paraId="5DC1503A" w14:textId="689D3465" w:rsidR="00D63561" w:rsidRPr="00986533" w:rsidRDefault="00D63561" w:rsidP="009D6947">
      <w:pPr>
        <w:pStyle w:val="ListParagraph"/>
        <w:numPr>
          <w:ilvl w:val="1"/>
          <w:numId w:val="11"/>
        </w:numPr>
        <w:rPr>
          <w:rFonts w:cstheme="minorHAnsi"/>
        </w:rPr>
      </w:pPr>
      <w:r w:rsidRPr="00986533">
        <w:rPr>
          <w:rFonts w:cstheme="minorHAnsi"/>
        </w:rPr>
        <w:t>How have industries/companies presented themselves in this crisis</w:t>
      </w:r>
      <w:r w:rsidR="00E25DE0" w:rsidRPr="00986533">
        <w:rPr>
          <w:rFonts w:cstheme="minorHAnsi"/>
        </w:rPr>
        <w:t xml:space="preserve"> (see </w:t>
      </w:r>
      <w:hyperlink r:id="rId24" w:history="1">
        <w:r w:rsidR="00E25DE0" w:rsidRPr="00986533">
          <w:rPr>
            <w:rStyle w:val="Hyperlink"/>
            <w:rFonts w:cstheme="minorHAnsi"/>
          </w:rPr>
          <w:t>Walls &amp; Walls, 2020</w:t>
        </w:r>
      </w:hyperlink>
      <w:r w:rsidR="00E25DE0" w:rsidRPr="00986533">
        <w:rPr>
          <w:rFonts w:cstheme="minorHAnsi"/>
        </w:rPr>
        <w:t xml:space="preserve">)? And do these presentations contribute to </w:t>
      </w:r>
      <w:proofErr w:type="spellStart"/>
      <w:r w:rsidR="00E25DE0" w:rsidRPr="00986533">
        <w:rPr>
          <w:rFonts w:cstheme="minorHAnsi"/>
        </w:rPr>
        <w:t>coronawashing</w:t>
      </w:r>
      <w:proofErr w:type="spellEnd"/>
      <w:r w:rsidR="00E25DE0" w:rsidRPr="00986533">
        <w:rPr>
          <w:rFonts w:cstheme="minorHAnsi"/>
        </w:rPr>
        <w:t xml:space="preserve"> (</w:t>
      </w:r>
      <w:proofErr w:type="spellStart"/>
      <w:r w:rsidR="00522843">
        <w:fldChar w:fldCharType="begin"/>
      </w:r>
      <w:r w:rsidR="00522843">
        <w:instrText xml:space="preserve"> HYPERLINK "http://one.aom.org/covid-19-insights-from-business-sustainability-scholars</w:instrText>
      </w:r>
      <w:r w:rsidR="00522843">
        <w:instrText xml:space="preserve">/covid-19-insights-vilchez" </w:instrText>
      </w:r>
      <w:r w:rsidR="00522843">
        <w:fldChar w:fldCharType="separate"/>
      </w:r>
      <w:r w:rsidR="00E25DE0" w:rsidRPr="00986533">
        <w:rPr>
          <w:rStyle w:val="Hyperlink"/>
          <w:rFonts w:cstheme="minorHAnsi"/>
        </w:rPr>
        <w:t>Vilchez</w:t>
      </w:r>
      <w:proofErr w:type="spellEnd"/>
      <w:r w:rsidR="00522843">
        <w:rPr>
          <w:rStyle w:val="Hyperlink"/>
          <w:rFonts w:cstheme="minorHAnsi"/>
        </w:rPr>
        <w:fldChar w:fldCharType="end"/>
      </w:r>
      <w:r w:rsidR="00E25DE0" w:rsidRPr="00986533">
        <w:rPr>
          <w:rFonts w:cstheme="minorHAnsi"/>
        </w:rPr>
        <w:t>, 2020)?</w:t>
      </w:r>
    </w:p>
    <w:p w14:paraId="1AA2A7D2" w14:textId="73E30F7D" w:rsidR="009D6947" w:rsidRPr="00986533" w:rsidRDefault="009D6947" w:rsidP="009D6947">
      <w:pPr>
        <w:pStyle w:val="NormalWeb"/>
        <w:numPr>
          <w:ilvl w:val="0"/>
          <w:numId w:val="11"/>
        </w:numPr>
        <w:rPr>
          <w:rFonts w:asciiTheme="minorHAnsi" w:hAnsiTheme="minorHAnsi" w:cstheme="minorHAnsi"/>
        </w:rPr>
      </w:pPr>
      <w:r w:rsidRPr="00986533">
        <w:rPr>
          <w:rFonts w:asciiTheme="minorHAnsi" w:hAnsiTheme="minorHAnsi" w:cstheme="minorHAnsi"/>
        </w:rPr>
        <w:t xml:space="preserve">Organizational Change: What are the implications for organizational change through disruption and adaptation? </w:t>
      </w:r>
    </w:p>
    <w:p w14:paraId="758B3713" w14:textId="0732DD96" w:rsidR="00D63561" w:rsidRPr="00986533" w:rsidRDefault="00A604C8" w:rsidP="00D63561">
      <w:pPr>
        <w:rPr>
          <w:rFonts w:cstheme="minorHAnsi"/>
        </w:rPr>
      </w:pPr>
      <w:r w:rsidRPr="00986533">
        <w:rPr>
          <w:rFonts w:cstheme="minorHAnsi"/>
        </w:rPr>
        <w:t xml:space="preserve">These questions are just examples. Authors should not feel constrained by them. We seek submissions </w:t>
      </w:r>
      <w:r w:rsidR="00883BA5">
        <w:rPr>
          <w:rFonts w:cstheme="minorHAnsi"/>
        </w:rPr>
        <w:t xml:space="preserve">across the business and society domain. </w:t>
      </w:r>
    </w:p>
    <w:p w14:paraId="3D2F9F96" w14:textId="670A17C7" w:rsidR="00A604C8" w:rsidRPr="00986533" w:rsidRDefault="00A604C8" w:rsidP="00D63561">
      <w:pPr>
        <w:rPr>
          <w:rFonts w:cstheme="minorHAnsi"/>
        </w:rPr>
      </w:pPr>
    </w:p>
    <w:p w14:paraId="093F28C7" w14:textId="19FEC18E" w:rsidR="00A604C8" w:rsidRPr="00986533" w:rsidRDefault="00A604C8" w:rsidP="00D63561">
      <w:pPr>
        <w:rPr>
          <w:rFonts w:cstheme="minorHAnsi"/>
        </w:rPr>
      </w:pPr>
      <w:r w:rsidRPr="00986533">
        <w:rPr>
          <w:rFonts w:cstheme="minorHAnsi"/>
        </w:rPr>
        <w:t xml:space="preserve">Your manuscript can be submitted online via </w:t>
      </w:r>
      <w:hyperlink r:id="rId25" w:history="1">
        <w:r w:rsidR="00883BA5" w:rsidRPr="007D1CFB">
          <w:rPr>
            <w:rStyle w:val="Hyperlink"/>
            <w:rFonts w:cstheme="minorHAnsi"/>
          </w:rPr>
          <w:t>https://mc.manuscriptcentral.com/basr</w:t>
        </w:r>
      </w:hyperlink>
      <w:r w:rsidR="00883BA5">
        <w:rPr>
          <w:rFonts w:cstheme="minorHAnsi"/>
        </w:rPr>
        <w:t xml:space="preserve">. </w:t>
      </w:r>
    </w:p>
    <w:p w14:paraId="606018F9" w14:textId="61AAFB2C" w:rsidR="00A604C8" w:rsidRPr="00986533" w:rsidRDefault="00A604C8" w:rsidP="00D63561">
      <w:pPr>
        <w:rPr>
          <w:rFonts w:cstheme="minorHAnsi"/>
        </w:rPr>
      </w:pPr>
    </w:p>
    <w:p w14:paraId="7772A458" w14:textId="1517DCFF" w:rsidR="00A604C8" w:rsidRPr="00986533" w:rsidRDefault="00A604C8" w:rsidP="00D63561">
      <w:pPr>
        <w:rPr>
          <w:rFonts w:cstheme="minorHAnsi"/>
        </w:rPr>
      </w:pPr>
      <w:r w:rsidRPr="00986533">
        <w:rPr>
          <w:rFonts w:cstheme="minorHAnsi"/>
        </w:rPr>
        <w:t xml:space="preserve">Prospective authors and potential reviewers are invited to email the guest editors with questions. </w:t>
      </w:r>
    </w:p>
    <w:p w14:paraId="77DC06F8" w14:textId="77777777" w:rsidR="00BA2501" w:rsidRPr="00986533" w:rsidRDefault="00BA2501" w:rsidP="00CE2BD6">
      <w:pPr>
        <w:pStyle w:val="Heading3"/>
        <w:rPr>
          <w:rFonts w:asciiTheme="minorHAnsi" w:hAnsiTheme="minorHAnsi" w:cstheme="minorHAnsi"/>
        </w:rPr>
      </w:pPr>
    </w:p>
    <w:p w14:paraId="2350DB6D" w14:textId="535B7D20" w:rsidR="00CE2BD6" w:rsidRPr="00CA6F00" w:rsidRDefault="00CE2BD6" w:rsidP="00CE2BD6">
      <w:pPr>
        <w:pStyle w:val="Heading3"/>
        <w:rPr>
          <w:rFonts w:asciiTheme="minorHAnsi" w:hAnsiTheme="minorHAnsi" w:cstheme="minorHAnsi"/>
          <w:sz w:val="28"/>
          <w:szCs w:val="28"/>
        </w:rPr>
      </w:pPr>
      <w:r w:rsidRPr="00CA6F00">
        <w:rPr>
          <w:rFonts w:asciiTheme="minorHAnsi" w:hAnsiTheme="minorHAnsi" w:cstheme="minorHAnsi"/>
          <w:sz w:val="28"/>
          <w:szCs w:val="28"/>
        </w:rPr>
        <w:t>References</w:t>
      </w:r>
    </w:p>
    <w:p w14:paraId="54A4C032" w14:textId="6DF55A6C" w:rsidR="00CE2BD6" w:rsidRPr="00986533" w:rsidRDefault="00CE2BD6" w:rsidP="00340325">
      <w:pPr>
        <w:rPr>
          <w:rFonts w:cstheme="minorHAnsi"/>
        </w:rPr>
      </w:pPr>
    </w:p>
    <w:p w14:paraId="4752CB5D" w14:textId="3EBD4706" w:rsidR="007000B2" w:rsidRPr="00986533" w:rsidRDefault="007000B2" w:rsidP="00986533">
      <w:pPr>
        <w:ind w:left="720" w:hanging="720"/>
        <w:rPr>
          <w:rFonts w:eastAsia="Times New Roman" w:cstheme="minorHAnsi"/>
          <w:color w:val="222222"/>
          <w:shd w:val="clear" w:color="auto" w:fill="FFFFFF"/>
        </w:rPr>
      </w:pPr>
      <w:proofErr w:type="spellStart"/>
      <w:r w:rsidRPr="00986533">
        <w:rPr>
          <w:rFonts w:eastAsia="Times New Roman" w:cstheme="minorHAnsi"/>
          <w:color w:val="222222"/>
          <w:shd w:val="clear" w:color="auto" w:fill="FFFFFF"/>
        </w:rPr>
        <w:t>Aguinis</w:t>
      </w:r>
      <w:proofErr w:type="spellEnd"/>
      <w:r w:rsidRPr="00986533">
        <w:rPr>
          <w:rFonts w:eastAsia="Times New Roman" w:cstheme="minorHAnsi"/>
          <w:color w:val="222222"/>
          <w:shd w:val="clear" w:color="auto" w:fill="FFFFFF"/>
        </w:rPr>
        <w:t xml:space="preserve">, H., &amp; </w:t>
      </w:r>
      <w:proofErr w:type="spellStart"/>
      <w:r w:rsidRPr="00986533">
        <w:rPr>
          <w:rFonts w:eastAsia="Times New Roman" w:cstheme="minorHAnsi"/>
          <w:color w:val="222222"/>
          <w:shd w:val="clear" w:color="auto" w:fill="FFFFFF"/>
        </w:rPr>
        <w:t>Glavas</w:t>
      </w:r>
      <w:proofErr w:type="spellEnd"/>
      <w:r w:rsidRPr="00986533">
        <w:rPr>
          <w:rFonts w:eastAsia="Times New Roman" w:cstheme="minorHAnsi"/>
          <w:color w:val="222222"/>
          <w:shd w:val="clear" w:color="auto" w:fill="FFFFFF"/>
        </w:rPr>
        <w:t>, A. (2012). What we know and don’t know about corporate social responsibility: A review and research agenda. </w:t>
      </w:r>
      <w:r w:rsidRPr="00986533">
        <w:rPr>
          <w:rFonts w:eastAsia="Times New Roman" w:cstheme="minorHAnsi"/>
          <w:i/>
          <w:iCs/>
          <w:color w:val="222222"/>
        </w:rPr>
        <w:t xml:space="preserve">Journal of </w:t>
      </w:r>
      <w:r w:rsidR="00B01F08">
        <w:rPr>
          <w:rFonts w:eastAsia="Times New Roman" w:cstheme="minorHAnsi"/>
          <w:i/>
          <w:iCs/>
          <w:color w:val="222222"/>
        </w:rPr>
        <w:t>M</w:t>
      </w:r>
      <w:r w:rsidRPr="00986533">
        <w:rPr>
          <w:rFonts w:eastAsia="Times New Roman" w:cstheme="minorHAnsi"/>
          <w:i/>
          <w:iCs/>
          <w:color w:val="222222"/>
        </w:rPr>
        <w:t>anagement</w:t>
      </w:r>
      <w:r w:rsidRPr="00986533">
        <w:rPr>
          <w:rFonts w:eastAsia="Times New Roman" w:cstheme="minorHAnsi"/>
          <w:color w:val="222222"/>
          <w:shd w:val="clear" w:color="auto" w:fill="FFFFFF"/>
        </w:rPr>
        <w:t>, </w:t>
      </w:r>
      <w:r w:rsidRPr="00986533">
        <w:rPr>
          <w:rFonts w:eastAsia="Times New Roman" w:cstheme="minorHAnsi"/>
          <w:i/>
          <w:iCs/>
          <w:color w:val="222222"/>
        </w:rPr>
        <w:t>38</w:t>
      </w:r>
      <w:r w:rsidRPr="00986533">
        <w:rPr>
          <w:rFonts w:eastAsia="Times New Roman" w:cstheme="minorHAnsi"/>
          <w:color w:val="222222"/>
          <w:shd w:val="clear" w:color="auto" w:fill="FFFFFF"/>
        </w:rPr>
        <w:t>(4), 932-968.</w:t>
      </w:r>
    </w:p>
    <w:p w14:paraId="5C7D37AD" w14:textId="77777777" w:rsidR="00FC093B" w:rsidRPr="00FC093B" w:rsidRDefault="00FC093B" w:rsidP="00986533">
      <w:pPr>
        <w:ind w:left="720" w:hanging="720"/>
        <w:rPr>
          <w:rFonts w:eastAsia="Times New Roman" w:cstheme="minorHAnsi"/>
        </w:rPr>
      </w:pPr>
      <w:r w:rsidRPr="00FC093B">
        <w:rPr>
          <w:rFonts w:eastAsia="Times New Roman" w:cstheme="minorHAnsi"/>
          <w:color w:val="222222"/>
          <w:shd w:val="clear" w:color="auto" w:fill="FFFFFF"/>
        </w:rPr>
        <w:t xml:space="preserve">Bundy, J., </w:t>
      </w:r>
      <w:proofErr w:type="spellStart"/>
      <w:r w:rsidRPr="00FC093B">
        <w:rPr>
          <w:rFonts w:eastAsia="Times New Roman" w:cstheme="minorHAnsi"/>
          <w:color w:val="222222"/>
          <w:shd w:val="clear" w:color="auto" w:fill="FFFFFF"/>
        </w:rPr>
        <w:t>Pfarrer</w:t>
      </w:r>
      <w:proofErr w:type="spellEnd"/>
      <w:r w:rsidRPr="00FC093B">
        <w:rPr>
          <w:rFonts w:eastAsia="Times New Roman" w:cstheme="minorHAnsi"/>
          <w:color w:val="222222"/>
          <w:shd w:val="clear" w:color="auto" w:fill="FFFFFF"/>
        </w:rPr>
        <w:t>, M. D., Short, C. E., &amp; Coombs, W. T. (2017). Crises and crisis management: Integration, interpretation, and research development. </w:t>
      </w:r>
      <w:r w:rsidRPr="00FC093B">
        <w:rPr>
          <w:rFonts w:eastAsia="Times New Roman" w:cstheme="minorHAnsi"/>
          <w:i/>
          <w:iCs/>
          <w:color w:val="222222"/>
        </w:rPr>
        <w:t>Journal of Management</w:t>
      </w:r>
      <w:r w:rsidRPr="00FC093B">
        <w:rPr>
          <w:rFonts w:eastAsia="Times New Roman" w:cstheme="minorHAnsi"/>
          <w:color w:val="222222"/>
          <w:shd w:val="clear" w:color="auto" w:fill="FFFFFF"/>
        </w:rPr>
        <w:t>, </w:t>
      </w:r>
      <w:r w:rsidRPr="00FC093B">
        <w:rPr>
          <w:rFonts w:eastAsia="Times New Roman" w:cstheme="minorHAnsi"/>
          <w:i/>
          <w:iCs/>
          <w:color w:val="222222"/>
        </w:rPr>
        <w:t>43</w:t>
      </w:r>
      <w:r w:rsidRPr="00FC093B">
        <w:rPr>
          <w:rFonts w:eastAsia="Times New Roman" w:cstheme="minorHAnsi"/>
          <w:color w:val="222222"/>
          <w:shd w:val="clear" w:color="auto" w:fill="FFFFFF"/>
        </w:rPr>
        <w:t>(6), 1661-1692.</w:t>
      </w:r>
    </w:p>
    <w:p w14:paraId="74713250" w14:textId="705DC9F6" w:rsidR="00C8563C" w:rsidRDefault="00707CEE" w:rsidP="00C8563C">
      <w:pPr>
        <w:ind w:left="720" w:hanging="720"/>
        <w:rPr>
          <w:rFonts w:eastAsia="Times New Roman" w:cstheme="minorHAnsi"/>
        </w:rPr>
      </w:pPr>
      <w:r w:rsidRPr="00707CEE">
        <w:rPr>
          <w:rFonts w:eastAsia="Times New Roman" w:cstheme="minorHAnsi"/>
          <w:color w:val="222222"/>
          <w:shd w:val="clear" w:color="auto" w:fill="FFFFFF"/>
        </w:rPr>
        <w:t xml:space="preserve">Greenwood, R., Díaz, A. M., Li, S. X., &amp; </w:t>
      </w:r>
      <w:proofErr w:type="spellStart"/>
      <w:r w:rsidRPr="00707CEE">
        <w:rPr>
          <w:rFonts w:eastAsia="Times New Roman" w:cstheme="minorHAnsi"/>
          <w:color w:val="222222"/>
          <w:shd w:val="clear" w:color="auto" w:fill="FFFFFF"/>
        </w:rPr>
        <w:t>Lorente</w:t>
      </w:r>
      <w:proofErr w:type="spellEnd"/>
      <w:r w:rsidRPr="00707CEE">
        <w:rPr>
          <w:rFonts w:eastAsia="Times New Roman" w:cstheme="minorHAnsi"/>
          <w:color w:val="222222"/>
          <w:shd w:val="clear" w:color="auto" w:fill="FFFFFF"/>
        </w:rPr>
        <w:t>, J. C. (2010). The multiplicity of institutional logics and the heterogeneity of organizational responses. </w:t>
      </w:r>
      <w:r w:rsidRPr="00707CEE">
        <w:rPr>
          <w:rFonts w:eastAsia="Times New Roman" w:cstheme="minorHAnsi"/>
          <w:i/>
          <w:iCs/>
          <w:color w:val="222222"/>
        </w:rPr>
        <w:t xml:space="preserve">Organization </w:t>
      </w:r>
      <w:r w:rsidR="00B01F08">
        <w:rPr>
          <w:rFonts w:eastAsia="Times New Roman" w:cstheme="minorHAnsi"/>
          <w:i/>
          <w:iCs/>
          <w:color w:val="222222"/>
        </w:rPr>
        <w:t>S</w:t>
      </w:r>
      <w:r w:rsidRPr="00707CEE">
        <w:rPr>
          <w:rFonts w:eastAsia="Times New Roman" w:cstheme="minorHAnsi"/>
          <w:i/>
          <w:iCs/>
          <w:color w:val="222222"/>
        </w:rPr>
        <w:t>cience</w:t>
      </w:r>
      <w:r w:rsidRPr="00707CEE">
        <w:rPr>
          <w:rFonts w:eastAsia="Times New Roman" w:cstheme="minorHAnsi"/>
          <w:color w:val="222222"/>
          <w:shd w:val="clear" w:color="auto" w:fill="FFFFFF"/>
        </w:rPr>
        <w:t>, </w:t>
      </w:r>
      <w:r w:rsidRPr="00707CEE">
        <w:rPr>
          <w:rFonts w:eastAsia="Times New Roman" w:cstheme="minorHAnsi"/>
          <w:i/>
          <w:iCs/>
          <w:color w:val="222222"/>
        </w:rPr>
        <w:t>21</w:t>
      </w:r>
      <w:r w:rsidRPr="00707CEE">
        <w:rPr>
          <w:rFonts w:eastAsia="Times New Roman" w:cstheme="minorHAnsi"/>
          <w:color w:val="222222"/>
          <w:shd w:val="clear" w:color="auto" w:fill="FFFFFF"/>
        </w:rPr>
        <w:t>(2), 521-539.</w:t>
      </w:r>
    </w:p>
    <w:p w14:paraId="40BC8DC0" w14:textId="03BB283E" w:rsidR="00C8563C" w:rsidRPr="00C8563C" w:rsidRDefault="00C8563C" w:rsidP="00C8563C">
      <w:pPr>
        <w:ind w:left="720" w:hanging="720"/>
        <w:rPr>
          <w:rFonts w:eastAsia="Times New Roman" w:cstheme="minorHAnsi"/>
        </w:rPr>
      </w:pPr>
      <w:proofErr w:type="spellStart"/>
      <w:r w:rsidRPr="00C8563C">
        <w:rPr>
          <w:rFonts w:eastAsia="Times New Roman" w:cstheme="minorHAnsi"/>
          <w:color w:val="222222"/>
          <w:shd w:val="clear" w:color="auto" w:fill="FFFFFF"/>
        </w:rPr>
        <w:t>Gundel</w:t>
      </w:r>
      <w:proofErr w:type="spellEnd"/>
      <w:r w:rsidRPr="00C8563C">
        <w:rPr>
          <w:rFonts w:eastAsia="Times New Roman" w:cstheme="minorHAnsi"/>
          <w:color w:val="222222"/>
          <w:shd w:val="clear" w:color="auto" w:fill="FFFFFF"/>
        </w:rPr>
        <w:t>, S. (2005). Towards a new typology of crises. </w:t>
      </w:r>
      <w:r w:rsidRPr="00C8563C">
        <w:rPr>
          <w:rFonts w:eastAsia="Times New Roman" w:cstheme="minorHAnsi"/>
          <w:i/>
          <w:iCs/>
          <w:color w:val="222222"/>
        </w:rPr>
        <w:t xml:space="preserve">Journal of </w:t>
      </w:r>
      <w:r w:rsidR="00B01F08">
        <w:rPr>
          <w:rFonts w:eastAsia="Times New Roman" w:cstheme="minorHAnsi"/>
          <w:i/>
          <w:iCs/>
          <w:color w:val="222222"/>
        </w:rPr>
        <w:t>C</w:t>
      </w:r>
      <w:r w:rsidRPr="00C8563C">
        <w:rPr>
          <w:rFonts w:eastAsia="Times New Roman" w:cstheme="minorHAnsi"/>
          <w:i/>
          <w:iCs/>
          <w:color w:val="222222"/>
        </w:rPr>
        <w:t xml:space="preserve">ontingencies and </w:t>
      </w:r>
      <w:r w:rsidR="00B01F08">
        <w:rPr>
          <w:rFonts w:eastAsia="Times New Roman" w:cstheme="minorHAnsi"/>
          <w:i/>
          <w:iCs/>
          <w:color w:val="222222"/>
        </w:rPr>
        <w:t>C</w:t>
      </w:r>
      <w:r w:rsidRPr="00C8563C">
        <w:rPr>
          <w:rFonts w:eastAsia="Times New Roman" w:cstheme="minorHAnsi"/>
          <w:i/>
          <w:iCs/>
          <w:color w:val="222222"/>
        </w:rPr>
        <w:t xml:space="preserve">risis </w:t>
      </w:r>
      <w:r w:rsidR="00B01F08">
        <w:rPr>
          <w:rFonts w:eastAsia="Times New Roman" w:cstheme="minorHAnsi"/>
          <w:i/>
          <w:iCs/>
          <w:color w:val="222222"/>
        </w:rPr>
        <w:t>M</w:t>
      </w:r>
      <w:r w:rsidRPr="00C8563C">
        <w:rPr>
          <w:rFonts w:eastAsia="Times New Roman" w:cstheme="minorHAnsi"/>
          <w:i/>
          <w:iCs/>
          <w:color w:val="222222"/>
        </w:rPr>
        <w:t>anagement</w:t>
      </w:r>
      <w:r w:rsidRPr="00C8563C">
        <w:rPr>
          <w:rFonts w:eastAsia="Times New Roman" w:cstheme="minorHAnsi"/>
          <w:color w:val="222222"/>
          <w:shd w:val="clear" w:color="auto" w:fill="FFFFFF"/>
        </w:rPr>
        <w:t>, </w:t>
      </w:r>
      <w:r w:rsidRPr="00C8563C">
        <w:rPr>
          <w:rFonts w:eastAsia="Times New Roman" w:cstheme="minorHAnsi"/>
          <w:i/>
          <w:iCs/>
          <w:color w:val="222222"/>
        </w:rPr>
        <w:t>13</w:t>
      </w:r>
      <w:r w:rsidRPr="00C8563C">
        <w:rPr>
          <w:rFonts w:eastAsia="Times New Roman" w:cstheme="minorHAnsi"/>
          <w:color w:val="222222"/>
          <w:shd w:val="clear" w:color="auto" w:fill="FFFFFF"/>
        </w:rPr>
        <w:t>(3), 106-115.</w:t>
      </w:r>
    </w:p>
    <w:p w14:paraId="5CC74CCD" w14:textId="77777777" w:rsidR="00996E66" w:rsidRPr="00996E66" w:rsidRDefault="00996E66" w:rsidP="00986533">
      <w:pPr>
        <w:ind w:left="720" w:hanging="720"/>
        <w:rPr>
          <w:rFonts w:eastAsia="Times New Roman" w:cstheme="minorHAnsi"/>
        </w:rPr>
      </w:pPr>
      <w:r w:rsidRPr="00996E66">
        <w:rPr>
          <w:rFonts w:eastAsia="Times New Roman" w:cstheme="minorHAnsi"/>
          <w:color w:val="222222"/>
          <w:shd w:val="clear" w:color="auto" w:fill="FFFFFF"/>
        </w:rPr>
        <w:t>Kurland, N. (2018). ESOP plus Benefit Corporation: Ownership culture with benefit accountability. </w:t>
      </w:r>
      <w:r w:rsidRPr="00996E66">
        <w:rPr>
          <w:rFonts w:eastAsia="Times New Roman" w:cstheme="minorHAnsi"/>
          <w:i/>
          <w:iCs/>
          <w:color w:val="222222"/>
        </w:rPr>
        <w:t>California Management Review</w:t>
      </w:r>
      <w:r w:rsidRPr="00996E66">
        <w:rPr>
          <w:rFonts w:eastAsia="Times New Roman" w:cstheme="minorHAnsi"/>
          <w:color w:val="222222"/>
          <w:shd w:val="clear" w:color="auto" w:fill="FFFFFF"/>
        </w:rPr>
        <w:t>, </w:t>
      </w:r>
      <w:r w:rsidRPr="00996E66">
        <w:rPr>
          <w:rFonts w:eastAsia="Times New Roman" w:cstheme="minorHAnsi"/>
          <w:i/>
          <w:iCs/>
          <w:color w:val="222222"/>
        </w:rPr>
        <w:t>60</w:t>
      </w:r>
      <w:r w:rsidRPr="00996E66">
        <w:rPr>
          <w:rFonts w:eastAsia="Times New Roman" w:cstheme="minorHAnsi"/>
          <w:color w:val="222222"/>
          <w:shd w:val="clear" w:color="auto" w:fill="FFFFFF"/>
        </w:rPr>
        <w:t>(4), 51-73.</w:t>
      </w:r>
    </w:p>
    <w:p w14:paraId="3672749D" w14:textId="77777777" w:rsidR="001C44AE" w:rsidRDefault="007000B2" w:rsidP="001C44AE">
      <w:pPr>
        <w:ind w:left="720" w:hanging="720"/>
        <w:rPr>
          <w:rFonts w:eastAsia="Times New Roman" w:cstheme="minorHAnsi"/>
          <w:color w:val="222222"/>
          <w:shd w:val="clear" w:color="auto" w:fill="FFFFFF"/>
        </w:rPr>
      </w:pPr>
      <w:r w:rsidRPr="00BA2501">
        <w:rPr>
          <w:rFonts w:eastAsia="Times New Roman" w:cstheme="minorHAnsi"/>
          <w:color w:val="222222"/>
          <w:shd w:val="clear" w:color="auto" w:fill="FFFFFF"/>
        </w:rPr>
        <w:t>Kurland, N. B., &amp; McCaffrey, S. J. (2020). Community Socioemotional Wealth: Preservation, Succession, and Farming in Lancaster County, Pennsylvania. </w:t>
      </w:r>
      <w:r w:rsidRPr="00BA2501">
        <w:rPr>
          <w:rFonts w:eastAsia="Times New Roman" w:cstheme="minorHAnsi"/>
          <w:i/>
          <w:iCs/>
          <w:color w:val="222222"/>
        </w:rPr>
        <w:t>Family Business Review</w:t>
      </w:r>
      <w:r w:rsidRPr="00BA2501">
        <w:rPr>
          <w:rFonts w:eastAsia="Times New Roman" w:cstheme="minorHAnsi"/>
          <w:color w:val="222222"/>
          <w:shd w:val="clear" w:color="auto" w:fill="FFFFFF"/>
        </w:rPr>
        <w:t>, 0894486520910876.</w:t>
      </w:r>
    </w:p>
    <w:p w14:paraId="75FEA22E" w14:textId="30C0849A" w:rsidR="001C44AE" w:rsidRPr="001C44AE" w:rsidRDefault="001C44AE" w:rsidP="001C44AE">
      <w:pPr>
        <w:ind w:left="720" w:hanging="720"/>
        <w:rPr>
          <w:rFonts w:eastAsia="Times New Roman" w:cstheme="minorHAnsi"/>
          <w:color w:val="222222"/>
          <w:shd w:val="clear" w:color="auto" w:fill="FFFFFF"/>
        </w:rPr>
      </w:pPr>
      <w:r w:rsidRPr="001C44AE">
        <w:rPr>
          <w:rFonts w:eastAsia="Times New Roman" w:cstheme="minorHAnsi"/>
          <w:color w:val="222222"/>
          <w:shd w:val="clear" w:color="auto" w:fill="FFFFFF"/>
        </w:rPr>
        <w:t xml:space="preserve">Lumpkin, G. T., &amp; </w:t>
      </w:r>
      <w:proofErr w:type="spellStart"/>
      <w:r w:rsidRPr="001C44AE">
        <w:rPr>
          <w:rFonts w:eastAsia="Times New Roman" w:cstheme="minorHAnsi"/>
          <w:color w:val="222222"/>
          <w:shd w:val="clear" w:color="auto" w:fill="FFFFFF"/>
        </w:rPr>
        <w:t>Bacq</w:t>
      </w:r>
      <w:proofErr w:type="spellEnd"/>
      <w:r w:rsidRPr="001C44AE">
        <w:rPr>
          <w:rFonts w:eastAsia="Times New Roman" w:cstheme="minorHAnsi"/>
          <w:color w:val="222222"/>
          <w:shd w:val="clear" w:color="auto" w:fill="FFFFFF"/>
        </w:rPr>
        <w:t>, S. (2019). Civic Wealth Creation: A New View of Stakeholder Engagement and Societal Impact. </w:t>
      </w:r>
      <w:r w:rsidRPr="001C44AE">
        <w:rPr>
          <w:rFonts w:eastAsia="Times New Roman" w:cstheme="minorHAnsi"/>
          <w:i/>
          <w:iCs/>
          <w:color w:val="222222"/>
        </w:rPr>
        <w:t>Academy of Management Perspectives</w:t>
      </w:r>
      <w:r w:rsidRPr="001C44AE">
        <w:rPr>
          <w:rFonts w:eastAsia="Times New Roman" w:cstheme="minorHAnsi"/>
          <w:color w:val="222222"/>
          <w:shd w:val="clear" w:color="auto" w:fill="FFFFFF"/>
        </w:rPr>
        <w:t>, </w:t>
      </w:r>
      <w:r w:rsidRPr="001C44AE">
        <w:rPr>
          <w:rFonts w:eastAsia="Times New Roman" w:cstheme="minorHAnsi"/>
          <w:i/>
          <w:iCs/>
          <w:color w:val="222222"/>
        </w:rPr>
        <w:t>33</w:t>
      </w:r>
      <w:r w:rsidRPr="001C44AE">
        <w:rPr>
          <w:rFonts w:eastAsia="Times New Roman" w:cstheme="minorHAnsi"/>
          <w:color w:val="222222"/>
          <w:shd w:val="clear" w:color="auto" w:fill="FFFFFF"/>
        </w:rPr>
        <w:t>(4), 383-404.</w:t>
      </w:r>
    </w:p>
    <w:p w14:paraId="50D426A1" w14:textId="56E20E1D" w:rsidR="00FC093B" w:rsidRPr="00FC093B" w:rsidRDefault="00FC093B" w:rsidP="00986533">
      <w:pPr>
        <w:ind w:left="720" w:hanging="720"/>
        <w:rPr>
          <w:rFonts w:eastAsia="Times New Roman" w:cstheme="minorHAnsi"/>
        </w:rPr>
      </w:pPr>
      <w:proofErr w:type="spellStart"/>
      <w:r w:rsidRPr="00FC093B">
        <w:rPr>
          <w:rFonts w:eastAsia="Times New Roman" w:cstheme="minorHAnsi"/>
          <w:color w:val="222222"/>
          <w:shd w:val="clear" w:color="auto" w:fill="FFFFFF"/>
        </w:rPr>
        <w:lastRenderedPageBreak/>
        <w:t>Mitroff</w:t>
      </w:r>
      <w:proofErr w:type="spellEnd"/>
      <w:r w:rsidRPr="00FC093B">
        <w:rPr>
          <w:rFonts w:eastAsia="Times New Roman" w:cstheme="minorHAnsi"/>
          <w:color w:val="222222"/>
          <w:shd w:val="clear" w:color="auto" w:fill="FFFFFF"/>
        </w:rPr>
        <w:t>, I. I. (2004). </w:t>
      </w:r>
      <w:r w:rsidRPr="00FC093B">
        <w:rPr>
          <w:rFonts w:eastAsia="Times New Roman" w:cstheme="minorHAnsi"/>
          <w:i/>
          <w:iCs/>
          <w:color w:val="222222"/>
        </w:rPr>
        <w:t>Crisis leadership: Planning for the unthinkable</w:t>
      </w:r>
      <w:r w:rsidRPr="00FC093B">
        <w:rPr>
          <w:rFonts w:eastAsia="Times New Roman" w:cstheme="minorHAnsi"/>
          <w:color w:val="222222"/>
          <w:shd w:val="clear" w:color="auto" w:fill="FFFFFF"/>
        </w:rPr>
        <w:t>. John Wiley &amp; Sons Inc.</w:t>
      </w:r>
    </w:p>
    <w:p w14:paraId="039EA7E7" w14:textId="38FE7599" w:rsidR="007000B2" w:rsidRPr="00986533" w:rsidRDefault="007000B2" w:rsidP="00986533">
      <w:pPr>
        <w:ind w:left="720" w:hanging="720"/>
        <w:rPr>
          <w:rFonts w:eastAsia="Times New Roman" w:cstheme="minorHAnsi"/>
          <w:color w:val="222222"/>
          <w:shd w:val="clear" w:color="auto" w:fill="FFFFFF"/>
        </w:rPr>
      </w:pPr>
      <w:r w:rsidRPr="00986533">
        <w:rPr>
          <w:rFonts w:eastAsia="Times New Roman" w:cstheme="minorHAnsi"/>
          <w:color w:val="222222"/>
          <w:shd w:val="clear" w:color="auto" w:fill="FFFFFF"/>
        </w:rPr>
        <w:t>Taneja, S. S., Taneja, P. K., &amp; Gupta, R. K. (2011). Researches in corporate social responsibility: A review of shifting focus, paradigms, and methodologies. </w:t>
      </w:r>
      <w:r w:rsidRPr="00986533">
        <w:rPr>
          <w:rFonts w:eastAsia="Times New Roman" w:cstheme="minorHAnsi"/>
          <w:i/>
          <w:iCs/>
          <w:color w:val="222222"/>
        </w:rPr>
        <w:t>Journal of Business Ethics</w:t>
      </w:r>
      <w:r w:rsidRPr="00986533">
        <w:rPr>
          <w:rFonts w:eastAsia="Times New Roman" w:cstheme="minorHAnsi"/>
          <w:color w:val="222222"/>
          <w:shd w:val="clear" w:color="auto" w:fill="FFFFFF"/>
        </w:rPr>
        <w:t>, </w:t>
      </w:r>
      <w:r w:rsidRPr="00986533">
        <w:rPr>
          <w:rFonts w:eastAsia="Times New Roman" w:cstheme="minorHAnsi"/>
          <w:i/>
          <w:iCs/>
          <w:color w:val="222222"/>
        </w:rPr>
        <w:t>101</w:t>
      </w:r>
      <w:r w:rsidRPr="00986533">
        <w:rPr>
          <w:rFonts w:eastAsia="Times New Roman" w:cstheme="minorHAnsi"/>
          <w:color w:val="222222"/>
          <w:shd w:val="clear" w:color="auto" w:fill="FFFFFF"/>
        </w:rPr>
        <w:t>(3), 343-364.</w:t>
      </w:r>
    </w:p>
    <w:p w14:paraId="3B9DECAA" w14:textId="77777777" w:rsidR="00406AFA" w:rsidRDefault="007000B2" w:rsidP="00406AFA">
      <w:pPr>
        <w:snapToGrid w:val="0"/>
        <w:ind w:left="720" w:hanging="720"/>
        <w:rPr>
          <w:rFonts w:eastAsia="Times New Roman" w:cstheme="minorHAnsi"/>
          <w:color w:val="222222"/>
          <w:shd w:val="clear" w:color="auto" w:fill="FFFFFF"/>
        </w:rPr>
      </w:pPr>
      <w:proofErr w:type="spellStart"/>
      <w:r w:rsidRPr="00986533">
        <w:rPr>
          <w:rFonts w:eastAsia="Times New Roman" w:cstheme="minorHAnsi"/>
          <w:color w:val="222222"/>
          <w:shd w:val="clear" w:color="auto" w:fill="FFFFFF"/>
        </w:rPr>
        <w:t>Tencati</w:t>
      </w:r>
      <w:proofErr w:type="spellEnd"/>
      <w:r w:rsidRPr="00986533">
        <w:rPr>
          <w:rFonts w:eastAsia="Times New Roman" w:cstheme="minorHAnsi"/>
          <w:color w:val="222222"/>
          <w:shd w:val="clear" w:color="auto" w:fill="FFFFFF"/>
        </w:rPr>
        <w:t xml:space="preserve">, A., </w:t>
      </w:r>
      <w:proofErr w:type="spellStart"/>
      <w:r w:rsidRPr="00986533">
        <w:rPr>
          <w:rFonts w:eastAsia="Times New Roman" w:cstheme="minorHAnsi"/>
          <w:color w:val="222222"/>
          <w:shd w:val="clear" w:color="auto" w:fill="FFFFFF"/>
        </w:rPr>
        <w:t>Misani</w:t>
      </w:r>
      <w:proofErr w:type="spellEnd"/>
      <w:r w:rsidRPr="00986533">
        <w:rPr>
          <w:rFonts w:eastAsia="Times New Roman" w:cstheme="minorHAnsi"/>
          <w:color w:val="222222"/>
          <w:shd w:val="clear" w:color="auto" w:fill="FFFFFF"/>
        </w:rPr>
        <w:t xml:space="preserve">, N., &amp; Castaldo, S. (2020). A qualified account of supererogation: toward a better conceptualization of Corporate Social Responsibility. </w:t>
      </w:r>
      <w:r w:rsidRPr="00B01F08">
        <w:rPr>
          <w:rFonts w:eastAsia="Times New Roman" w:cstheme="minorHAnsi"/>
          <w:i/>
          <w:iCs/>
          <w:color w:val="222222"/>
          <w:shd w:val="clear" w:color="auto" w:fill="FFFFFF"/>
        </w:rPr>
        <w:t>Business Ethics Quarterly</w:t>
      </w:r>
      <w:r w:rsidRPr="00986533">
        <w:rPr>
          <w:rFonts w:eastAsia="Times New Roman" w:cstheme="minorHAnsi"/>
          <w:color w:val="222222"/>
          <w:shd w:val="clear" w:color="auto" w:fill="FFFFFF"/>
        </w:rPr>
        <w:t>, 30:2, 250-272.</w:t>
      </w:r>
    </w:p>
    <w:p w14:paraId="13C9B962" w14:textId="4607FDBC" w:rsidR="007000B2" w:rsidRPr="00986533" w:rsidRDefault="007000B2" w:rsidP="00406AFA">
      <w:pPr>
        <w:snapToGrid w:val="0"/>
        <w:ind w:left="720" w:hanging="720"/>
        <w:rPr>
          <w:rFonts w:cstheme="minorHAnsi"/>
        </w:rPr>
      </w:pPr>
      <w:r w:rsidRPr="00BA2501">
        <w:rPr>
          <w:rFonts w:cstheme="minorHAnsi"/>
          <w:color w:val="222222"/>
          <w:shd w:val="clear" w:color="auto" w:fill="FFFFFF"/>
        </w:rPr>
        <w:t>Williams, S. D., &amp; Williams, J. (2020). Posttraumatic stress in organizations: Types, antecedents, and consequences. </w:t>
      </w:r>
      <w:r w:rsidRPr="00BA2501">
        <w:rPr>
          <w:rFonts w:cstheme="minorHAnsi"/>
          <w:i/>
          <w:iCs/>
          <w:color w:val="222222"/>
        </w:rPr>
        <w:t>Business and Society Review</w:t>
      </w:r>
      <w:r w:rsidRPr="00BA2501">
        <w:rPr>
          <w:rFonts w:cstheme="minorHAnsi"/>
          <w:color w:val="222222"/>
          <w:shd w:val="clear" w:color="auto" w:fill="FFFFFF"/>
        </w:rPr>
        <w:t>.</w:t>
      </w:r>
      <w:r w:rsidRPr="00986533">
        <w:rPr>
          <w:rFonts w:cstheme="minorHAnsi"/>
          <w:color w:val="222222"/>
          <w:shd w:val="clear" w:color="auto" w:fill="FFFFFF"/>
        </w:rPr>
        <w:t xml:space="preserve"> </w:t>
      </w:r>
      <w:r w:rsidRPr="00986533">
        <w:rPr>
          <w:rFonts w:cstheme="minorHAnsi"/>
        </w:rPr>
        <w:t xml:space="preserve">DOI: 10.1111/basr.12192  </w:t>
      </w:r>
    </w:p>
    <w:p w14:paraId="54C231BF" w14:textId="170CAEB9" w:rsidR="00BA2501" w:rsidRPr="00BA2501" w:rsidRDefault="00BA2501" w:rsidP="00BA2501">
      <w:pPr>
        <w:rPr>
          <w:rFonts w:eastAsia="Times New Roman" w:cstheme="minorHAnsi"/>
        </w:rPr>
      </w:pPr>
    </w:p>
    <w:p w14:paraId="03845472" w14:textId="77777777" w:rsidR="00BA2501" w:rsidRPr="00986533" w:rsidRDefault="00BA2501" w:rsidP="00042FE5">
      <w:pPr>
        <w:rPr>
          <w:rFonts w:eastAsia="Times New Roman" w:cstheme="minorHAnsi"/>
        </w:rPr>
      </w:pPr>
    </w:p>
    <w:p w14:paraId="43FD5D74" w14:textId="092A00DA" w:rsidR="00FE5AEF" w:rsidRPr="00986533" w:rsidRDefault="00FE5AEF" w:rsidP="00FE5AEF">
      <w:pPr>
        <w:rPr>
          <w:rFonts w:cstheme="minorHAnsi"/>
        </w:rPr>
      </w:pPr>
    </w:p>
    <w:sectPr w:rsidR="00FE5AEF" w:rsidRPr="00986533" w:rsidSect="0087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2FE"/>
    <w:multiLevelType w:val="hybridMultilevel"/>
    <w:tmpl w:val="67A210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3D0AE1"/>
    <w:multiLevelType w:val="hybridMultilevel"/>
    <w:tmpl w:val="F928FD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E32E4F"/>
    <w:multiLevelType w:val="hybridMultilevel"/>
    <w:tmpl w:val="75906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3021C2"/>
    <w:multiLevelType w:val="hybridMultilevel"/>
    <w:tmpl w:val="7C0C4C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A51715"/>
    <w:multiLevelType w:val="hybridMultilevel"/>
    <w:tmpl w:val="688AF1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992491"/>
    <w:multiLevelType w:val="hybridMultilevel"/>
    <w:tmpl w:val="6480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03A6E"/>
    <w:multiLevelType w:val="hybridMultilevel"/>
    <w:tmpl w:val="98B28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7863EB"/>
    <w:multiLevelType w:val="hybridMultilevel"/>
    <w:tmpl w:val="D932FF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4FE7E31"/>
    <w:multiLevelType w:val="hybridMultilevel"/>
    <w:tmpl w:val="F7984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7D6C37"/>
    <w:multiLevelType w:val="hybridMultilevel"/>
    <w:tmpl w:val="831EA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31B4B"/>
    <w:multiLevelType w:val="hybridMultilevel"/>
    <w:tmpl w:val="841CAC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3F349C"/>
    <w:multiLevelType w:val="hybridMultilevel"/>
    <w:tmpl w:val="FE780A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B7438A"/>
    <w:multiLevelType w:val="hybridMultilevel"/>
    <w:tmpl w:val="B01EED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2E46F19"/>
    <w:multiLevelType w:val="hybridMultilevel"/>
    <w:tmpl w:val="C0B8E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2"/>
  </w:num>
  <w:num w:numId="5">
    <w:abstractNumId w:val="11"/>
  </w:num>
  <w:num w:numId="6">
    <w:abstractNumId w:val="8"/>
  </w:num>
  <w:num w:numId="7">
    <w:abstractNumId w:val="4"/>
  </w:num>
  <w:num w:numId="8">
    <w:abstractNumId w:val="9"/>
  </w:num>
  <w:num w:numId="9">
    <w:abstractNumId w:val="5"/>
  </w:num>
  <w:num w:numId="10">
    <w:abstractNumId w:val="13"/>
  </w:num>
  <w:num w:numId="11">
    <w:abstractNumId w:val="0"/>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4D"/>
    <w:rsid w:val="00006639"/>
    <w:rsid w:val="000404C4"/>
    <w:rsid w:val="000424DF"/>
    <w:rsid w:val="00042FE5"/>
    <w:rsid w:val="0006224A"/>
    <w:rsid w:val="0019225C"/>
    <w:rsid w:val="001C44AE"/>
    <w:rsid w:val="002A16BD"/>
    <w:rsid w:val="00340325"/>
    <w:rsid w:val="00392325"/>
    <w:rsid w:val="003E54F8"/>
    <w:rsid w:val="00406AFA"/>
    <w:rsid w:val="00474224"/>
    <w:rsid w:val="0049301B"/>
    <w:rsid w:val="00511A51"/>
    <w:rsid w:val="00522843"/>
    <w:rsid w:val="00541BCE"/>
    <w:rsid w:val="0055123E"/>
    <w:rsid w:val="00556713"/>
    <w:rsid w:val="005742F4"/>
    <w:rsid w:val="005C5CA5"/>
    <w:rsid w:val="0068185C"/>
    <w:rsid w:val="006A2319"/>
    <w:rsid w:val="007000B2"/>
    <w:rsid w:val="00707CEE"/>
    <w:rsid w:val="00761947"/>
    <w:rsid w:val="00767E25"/>
    <w:rsid w:val="0082704D"/>
    <w:rsid w:val="0087162B"/>
    <w:rsid w:val="00883BA5"/>
    <w:rsid w:val="008A3C9B"/>
    <w:rsid w:val="008C5338"/>
    <w:rsid w:val="00955C47"/>
    <w:rsid w:val="00986533"/>
    <w:rsid w:val="00996E66"/>
    <w:rsid w:val="009D6947"/>
    <w:rsid w:val="009D79D5"/>
    <w:rsid w:val="00A01CDF"/>
    <w:rsid w:val="00A604C8"/>
    <w:rsid w:val="00AB0215"/>
    <w:rsid w:val="00B01F08"/>
    <w:rsid w:val="00B0540C"/>
    <w:rsid w:val="00B72313"/>
    <w:rsid w:val="00BA2501"/>
    <w:rsid w:val="00BA2CD8"/>
    <w:rsid w:val="00C21581"/>
    <w:rsid w:val="00C8563C"/>
    <w:rsid w:val="00C86BDB"/>
    <w:rsid w:val="00CA6F00"/>
    <w:rsid w:val="00CE2BD6"/>
    <w:rsid w:val="00D042A8"/>
    <w:rsid w:val="00D22C7D"/>
    <w:rsid w:val="00D63561"/>
    <w:rsid w:val="00D67ED1"/>
    <w:rsid w:val="00E25DE0"/>
    <w:rsid w:val="00E271CB"/>
    <w:rsid w:val="00E80C4D"/>
    <w:rsid w:val="00EE5378"/>
    <w:rsid w:val="00F02479"/>
    <w:rsid w:val="00F203F6"/>
    <w:rsid w:val="00F62BA4"/>
    <w:rsid w:val="00FC093B"/>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FD8C8"/>
  <w15:chartTrackingRefBased/>
  <w15:docId w15:val="{320AFAFD-6499-6A48-B0A3-6D77CC8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B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032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2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C4D"/>
    <w:pPr>
      <w:ind w:left="720"/>
      <w:contextualSpacing/>
    </w:pPr>
  </w:style>
  <w:style w:type="character" w:styleId="Emphasis">
    <w:name w:val="Emphasis"/>
    <w:basedOn w:val="DefaultParagraphFont"/>
    <w:uiPriority w:val="20"/>
    <w:qFormat/>
    <w:rsid w:val="0006224A"/>
    <w:rPr>
      <w:i/>
      <w:iCs/>
    </w:rPr>
  </w:style>
  <w:style w:type="character" w:customStyle="1" w:styleId="apple-converted-space">
    <w:name w:val="apple-converted-space"/>
    <w:basedOn w:val="DefaultParagraphFont"/>
    <w:rsid w:val="0006224A"/>
  </w:style>
  <w:style w:type="character" w:customStyle="1" w:styleId="Heading3Char">
    <w:name w:val="Heading 3 Char"/>
    <w:basedOn w:val="DefaultParagraphFont"/>
    <w:link w:val="Heading3"/>
    <w:uiPriority w:val="9"/>
    <w:rsid w:val="00340325"/>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270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04D"/>
    <w:rPr>
      <w:rFonts w:ascii="Times New Roman" w:hAnsi="Times New Roman" w:cs="Times New Roman"/>
      <w:sz w:val="18"/>
      <w:szCs w:val="18"/>
    </w:rPr>
  </w:style>
  <w:style w:type="paragraph" w:styleId="NormalWeb">
    <w:name w:val="Normal (Web)"/>
    <w:basedOn w:val="Normal"/>
    <w:uiPriority w:val="99"/>
    <w:semiHidden/>
    <w:unhideWhenUsed/>
    <w:rsid w:val="0068185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E2B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BD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E2BD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E2BD6"/>
    <w:rPr>
      <w:color w:val="0563C1" w:themeColor="hyperlink"/>
      <w:u w:val="single"/>
    </w:rPr>
  </w:style>
  <w:style w:type="character" w:styleId="UnresolvedMention">
    <w:name w:val="Unresolved Mention"/>
    <w:basedOn w:val="DefaultParagraphFont"/>
    <w:uiPriority w:val="99"/>
    <w:rsid w:val="00CE2BD6"/>
    <w:rPr>
      <w:color w:val="605E5C"/>
      <w:shd w:val="clear" w:color="auto" w:fill="E1DFDD"/>
    </w:rPr>
  </w:style>
  <w:style w:type="character" w:styleId="CommentReference">
    <w:name w:val="annotation reference"/>
    <w:basedOn w:val="DefaultParagraphFont"/>
    <w:uiPriority w:val="99"/>
    <w:semiHidden/>
    <w:unhideWhenUsed/>
    <w:rsid w:val="00E25DE0"/>
    <w:rPr>
      <w:sz w:val="16"/>
      <w:szCs w:val="16"/>
    </w:rPr>
  </w:style>
  <w:style w:type="paragraph" w:styleId="CommentText">
    <w:name w:val="annotation text"/>
    <w:basedOn w:val="Normal"/>
    <w:link w:val="CommentTextChar"/>
    <w:uiPriority w:val="99"/>
    <w:semiHidden/>
    <w:unhideWhenUsed/>
    <w:rsid w:val="00E25DE0"/>
    <w:rPr>
      <w:sz w:val="20"/>
      <w:szCs w:val="20"/>
    </w:rPr>
  </w:style>
  <w:style w:type="character" w:customStyle="1" w:styleId="CommentTextChar">
    <w:name w:val="Comment Text Char"/>
    <w:basedOn w:val="DefaultParagraphFont"/>
    <w:link w:val="CommentText"/>
    <w:uiPriority w:val="99"/>
    <w:semiHidden/>
    <w:rsid w:val="00E25DE0"/>
    <w:rPr>
      <w:sz w:val="20"/>
      <w:szCs w:val="20"/>
    </w:rPr>
  </w:style>
  <w:style w:type="paragraph" w:styleId="CommentSubject">
    <w:name w:val="annotation subject"/>
    <w:basedOn w:val="CommentText"/>
    <w:next w:val="CommentText"/>
    <w:link w:val="CommentSubjectChar"/>
    <w:uiPriority w:val="99"/>
    <w:semiHidden/>
    <w:unhideWhenUsed/>
    <w:rsid w:val="00E25DE0"/>
    <w:rPr>
      <w:b/>
      <w:bCs/>
    </w:rPr>
  </w:style>
  <w:style w:type="character" w:customStyle="1" w:styleId="CommentSubjectChar">
    <w:name w:val="Comment Subject Char"/>
    <w:basedOn w:val="CommentTextChar"/>
    <w:link w:val="CommentSubject"/>
    <w:uiPriority w:val="99"/>
    <w:semiHidden/>
    <w:rsid w:val="00E25DE0"/>
    <w:rPr>
      <w:b/>
      <w:bCs/>
      <w:sz w:val="20"/>
      <w:szCs w:val="20"/>
    </w:rPr>
  </w:style>
  <w:style w:type="character" w:styleId="FollowedHyperlink">
    <w:name w:val="FollowedHyperlink"/>
    <w:basedOn w:val="DefaultParagraphFont"/>
    <w:uiPriority w:val="99"/>
    <w:semiHidden/>
    <w:unhideWhenUsed/>
    <w:rsid w:val="00551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53318">
      <w:bodyDiv w:val="1"/>
      <w:marLeft w:val="0"/>
      <w:marRight w:val="0"/>
      <w:marTop w:val="0"/>
      <w:marBottom w:val="0"/>
      <w:divBdr>
        <w:top w:val="none" w:sz="0" w:space="0" w:color="auto"/>
        <w:left w:val="none" w:sz="0" w:space="0" w:color="auto"/>
        <w:bottom w:val="none" w:sz="0" w:space="0" w:color="auto"/>
        <w:right w:val="none" w:sz="0" w:space="0" w:color="auto"/>
      </w:divBdr>
    </w:div>
    <w:div w:id="485826770">
      <w:bodyDiv w:val="1"/>
      <w:marLeft w:val="0"/>
      <w:marRight w:val="0"/>
      <w:marTop w:val="0"/>
      <w:marBottom w:val="0"/>
      <w:divBdr>
        <w:top w:val="none" w:sz="0" w:space="0" w:color="auto"/>
        <w:left w:val="none" w:sz="0" w:space="0" w:color="auto"/>
        <w:bottom w:val="none" w:sz="0" w:space="0" w:color="auto"/>
        <w:right w:val="none" w:sz="0" w:space="0" w:color="auto"/>
      </w:divBdr>
    </w:div>
    <w:div w:id="749929591">
      <w:bodyDiv w:val="1"/>
      <w:marLeft w:val="0"/>
      <w:marRight w:val="0"/>
      <w:marTop w:val="0"/>
      <w:marBottom w:val="0"/>
      <w:divBdr>
        <w:top w:val="none" w:sz="0" w:space="0" w:color="auto"/>
        <w:left w:val="none" w:sz="0" w:space="0" w:color="auto"/>
        <w:bottom w:val="none" w:sz="0" w:space="0" w:color="auto"/>
        <w:right w:val="none" w:sz="0" w:space="0" w:color="auto"/>
      </w:divBdr>
    </w:div>
    <w:div w:id="796875126">
      <w:bodyDiv w:val="1"/>
      <w:marLeft w:val="0"/>
      <w:marRight w:val="0"/>
      <w:marTop w:val="0"/>
      <w:marBottom w:val="0"/>
      <w:divBdr>
        <w:top w:val="none" w:sz="0" w:space="0" w:color="auto"/>
        <w:left w:val="none" w:sz="0" w:space="0" w:color="auto"/>
        <w:bottom w:val="none" w:sz="0" w:space="0" w:color="auto"/>
        <w:right w:val="none" w:sz="0" w:space="0" w:color="auto"/>
      </w:divBdr>
    </w:div>
    <w:div w:id="942028286">
      <w:bodyDiv w:val="1"/>
      <w:marLeft w:val="0"/>
      <w:marRight w:val="0"/>
      <w:marTop w:val="0"/>
      <w:marBottom w:val="0"/>
      <w:divBdr>
        <w:top w:val="none" w:sz="0" w:space="0" w:color="auto"/>
        <w:left w:val="none" w:sz="0" w:space="0" w:color="auto"/>
        <w:bottom w:val="none" w:sz="0" w:space="0" w:color="auto"/>
        <w:right w:val="none" w:sz="0" w:space="0" w:color="auto"/>
      </w:divBdr>
    </w:div>
    <w:div w:id="1081295625">
      <w:bodyDiv w:val="1"/>
      <w:marLeft w:val="0"/>
      <w:marRight w:val="0"/>
      <w:marTop w:val="0"/>
      <w:marBottom w:val="0"/>
      <w:divBdr>
        <w:top w:val="none" w:sz="0" w:space="0" w:color="auto"/>
        <w:left w:val="none" w:sz="0" w:space="0" w:color="auto"/>
        <w:bottom w:val="none" w:sz="0" w:space="0" w:color="auto"/>
        <w:right w:val="none" w:sz="0" w:space="0" w:color="auto"/>
      </w:divBdr>
    </w:div>
    <w:div w:id="1181627265">
      <w:bodyDiv w:val="1"/>
      <w:marLeft w:val="0"/>
      <w:marRight w:val="0"/>
      <w:marTop w:val="0"/>
      <w:marBottom w:val="0"/>
      <w:divBdr>
        <w:top w:val="none" w:sz="0" w:space="0" w:color="auto"/>
        <w:left w:val="none" w:sz="0" w:space="0" w:color="auto"/>
        <w:bottom w:val="none" w:sz="0" w:space="0" w:color="auto"/>
        <w:right w:val="none" w:sz="0" w:space="0" w:color="auto"/>
      </w:divBdr>
    </w:div>
    <w:div w:id="1183937773">
      <w:bodyDiv w:val="1"/>
      <w:marLeft w:val="0"/>
      <w:marRight w:val="0"/>
      <w:marTop w:val="0"/>
      <w:marBottom w:val="0"/>
      <w:divBdr>
        <w:top w:val="none" w:sz="0" w:space="0" w:color="auto"/>
        <w:left w:val="none" w:sz="0" w:space="0" w:color="auto"/>
        <w:bottom w:val="none" w:sz="0" w:space="0" w:color="auto"/>
        <w:right w:val="none" w:sz="0" w:space="0" w:color="auto"/>
      </w:divBdr>
    </w:div>
    <w:div w:id="1371806066">
      <w:bodyDiv w:val="1"/>
      <w:marLeft w:val="0"/>
      <w:marRight w:val="0"/>
      <w:marTop w:val="0"/>
      <w:marBottom w:val="0"/>
      <w:divBdr>
        <w:top w:val="none" w:sz="0" w:space="0" w:color="auto"/>
        <w:left w:val="none" w:sz="0" w:space="0" w:color="auto"/>
        <w:bottom w:val="none" w:sz="0" w:space="0" w:color="auto"/>
        <w:right w:val="none" w:sz="0" w:space="0" w:color="auto"/>
      </w:divBdr>
    </w:div>
    <w:div w:id="1477720764">
      <w:bodyDiv w:val="1"/>
      <w:marLeft w:val="0"/>
      <w:marRight w:val="0"/>
      <w:marTop w:val="0"/>
      <w:marBottom w:val="0"/>
      <w:divBdr>
        <w:top w:val="none" w:sz="0" w:space="0" w:color="auto"/>
        <w:left w:val="none" w:sz="0" w:space="0" w:color="auto"/>
        <w:bottom w:val="none" w:sz="0" w:space="0" w:color="auto"/>
        <w:right w:val="none" w:sz="0" w:space="0" w:color="auto"/>
      </w:divBdr>
    </w:div>
    <w:div w:id="1859004223">
      <w:bodyDiv w:val="1"/>
      <w:marLeft w:val="0"/>
      <w:marRight w:val="0"/>
      <w:marTop w:val="0"/>
      <w:marBottom w:val="0"/>
      <w:divBdr>
        <w:top w:val="none" w:sz="0" w:space="0" w:color="auto"/>
        <w:left w:val="none" w:sz="0" w:space="0" w:color="auto"/>
        <w:bottom w:val="none" w:sz="0" w:space="0" w:color="auto"/>
        <w:right w:val="none" w:sz="0" w:space="0" w:color="auto"/>
      </w:divBdr>
      <w:divsChild>
        <w:div w:id="1706365516">
          <w:marLeft w:val="0"/>
          <w:marRight w:val="0"/>
          <w:marTop w:val="0"/>
          <w:marBottom w:val="0"/>
          <w:divBdr>
            <w:top w:val="none" w:sz="0" w:space="0" w:color="auto"/>
            <w:left w:val="none" w:sz="0" w:space="0" w:color="auto"/>
            <w:bottom w:val="none" w:sz="0" w:space="0" w:color="auto"/>
            <w:right w:val="none" w:sz="0" w:space="0" w:color="auto"/>
          </w:divBdr>
          <w:divsChild>
            <w:div w:id="28721015">
              <w:marLeft w:val="0"/>
              <w:marRight w:val="0"/>
              <w:marTop w:val="0"/>
              <w:marBottom w:val="0"/>
              <w:divBdr>
                <w:top w:val="none" w:sz="0" w:space="0" w:color="auto"/>
                <w:left w:val="none" w:sz="0" w:space="0" w:color="auto"/>
                <w:bottom w:val="none" w:sz="0" w:space="0" w:color="auto"/>
                <w:right w:val="none" w:sz="0" w:space="0" w:color="auto"/>
              </w:divBdr>
              <w:divsChild>
                <w:div w:id="293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4870">
      <w:bodyDiv w:val="1"/>
      <w:marLeft w:val="0"/>
      <w:marRight w:val="0"/>
      <w:marTop w:val="0"/>
      <w:marBottom w:val="0"/>
      <w:divBdr>
        <w:top w:val="none" w:sz="0" w:space="0" w:color="auto"/>
        <w:left w:val="none" w:sz="0" w:space="0" w:color="auto"/>
        <w:bottom w:val="none" w:sz="0" w:space="0" w:color="auto"/>
        <w:right w:val="none" w:sz="0" w:space="0" w:color="auto"/>
      </w:divBdr>
    </w:div>
    <w:div w:id="2087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0/03/24/ohio-texas-use-covid-19-stop-abortions" TargetMode="External"/><Relationship Id="rId13" Type="http://schemas.openxmlformats.org/officeDocument/2006/relationships/hyperlink" Target="https://freakonomics.com/podcast/covid-19-food-supply/" TargetMode="External"/><Relationship Id="rId18" Type="http://schemas.openxmlformats.org/officeDocument/2006/relationships/hyperlink" Target="https://slate.com/podcasts/amicus/2020/03/protecting-democracy-pandemi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dialogue.org/wp-content/uploads/2020/03/Migration-remittances-and-the-impact-of-the-pandemic-2.pdf" TargetMode="External"/><Relationship Id="rId7" Type="http://schemas.openxmlformats.org/officeDocument/2006/relationships/hyperlink" Target="mailto:erica_steckler@uml.edu" TargetMode="External"/><Relationship Id="rId12" Type="http://schemas.openxmlformats.org/officeDocument/2006/relationships/hyperlink" Target="https://www.washingtonpost.com/politics/food-banks-sought-relaxed-federal-rules-to-minimize-contact-the-usda-has-stalled-those-requests-officials-say/2020/03/31/0239a26e-733b-11ea-a9bd-9f8b593300d0_story.html" TargetMode="External"/><Relationship Id="rId17" Type="http://schemas.openxmlformats.org/officeDocument/2006/relationships/hyperlink" Target="https://www.nytimes.com/2020/04/02/world/coronavirus-news.html?referringSource=articleShare" TargetMode="External"/><Relationship Id="rId25" Type="http://schemas.openxmlformats.org/officeDocument/2006/relationships/hyperlink" Target="https://mc.manuscriptcentral.com/basr" TargetMode="External"/><Relationship Id="rId2" Type="http://schemas.openxmlformats.org/officeDocument/2006/relationships/styles" Target="styles.xml"/><Relationship Id="rId16" Type="http://schemas.openxmlformats.org/officeDocument/2006/relationships/hyperlink" Target="http://one.aom.org/covid-19-insights-from-business-sustainability-scholars/covid-19-insights-crane" TargetMode="External"/><Relationship Id="rId20" Type="http://schemas.openxmlformats.org/officeDocument/2006/relationships/hyperlink" Target="https://one.aom.org/covid-19-insights-from-business-sustainability-scholars/hoffman-and-jennings" TargetMode="External"/><Relationship Id="rId1" Type="http://schemas.openxmlformats.org/officeDocument/2006/relationships/numbering" Target="numbering.xml"/><Relationship Id="rId6" Type="http://schemas.openxmlformats.org/officeDocument/2006/relationships/hyperlink" Target="mailto:mbaucus@txstate.edu" TargetMode="External"/><Relationship Id="rId11" Type="http://schemas.openxmlformats.org/officeDocument/2006/relationships/hyperlink" Target="https://www.forbes.com/sites/alexandrasternlicht/2020/03/29/as-wealthy-depart-for-second-homes-class-tensions-come-to-surface-in-coronavirus-crisis/" TargetMode="External"/><Relationship Id="rId24" Type="http://schemas.openxmlformats.org/officeDocument/2006/relationships/hyperlink" Target="https://one.aom.org/covid-19-insights-from-business-sustainability-scholars" TargetMode="External"/><Relationship Id="rId5" Type="http://schemas.openxmlformats.org/officeDocument/2006/relationships/hyperlink" Target="mailto:nkurland@fandm.edu" TargetMode="External"/><Relationship Id="rId15" Type="http://schemas.openxmlformats.org/officeDocument/2006/relationships/hyperlink" Target="https://one.aom.org/covid-19-insights-from-business-sustainability-scholars/dolsak-and-prakash" TargetMode="External"/><Relationship Id="rId23" Type="http://schemas.openxmlformats.org/officeDocument/2006/relationships/hyperlink" Target="https://www.congress.gov/bill/116th-congress/senate-bill/3548/text" TargetMode="External"/><Relationship Id="rId10" Type="http://schemas.openxmlformats.org/officeDocument/2006/relationships/hyperlink" Target="https://www.wsj.com/articles/how-many-kids-attend-school-each-day-during-coronavirus-no-one-knows-11586856604?mod=hp_lead_pos11" TargetMode="External"/><Relationship Id="rId19" Type="http://schemas.openxmlformats.org/officeDocument/2006/relationships/hyperlink" Target="https://abcnews.go.com/US/gun-sales-rise-coronavirus-concerns-spread/story?id=69722973" TargetMode="External"/><Relationship Id="rId4" Type="http://schemas.openxmlformats.org/officeDocument/2006/relationships/webSettings" Target="webSettings.xml"/><Relationship Id="rId9" Type="http://schemas.openxmlformats.org/officeDocument/2006/relationships/hyperlink" Target="https://thehill.com/policy/energy-environment/489753-epa-suspends-enforcement-of-environmental-laws-amid-coronavirus" TargetMode="External"/><Relationship Id="rId14" Type="http://schemas.openxmlformats.org/officeDocument/2006/relationships/hyperlink" Target="https://www.npr.org/2020/03/25/821593542/episode-984-food-and-farmworkers" TargetMode="External"/><Relationship Id="rId22" Type="http://schemas.openxmlformats.org/officeDocument/2006/relationships/hyperlink" Target="https://www.nytimes.com/2020/04/06/world/coronavirus-domestic-violence.html?action=click&amp;module=Spotlight&amp;pgtype=Homepa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Kurland</dc:creator>
  <cp:keywords/>
  <dc:description/>
  <cp:lastModifiedBy>Dr. David Wasieleski</cp:lastModifiedBy>
  <cp:revision>2</cp:revision>
  <dcterms:created xsi:type="dcterms:W3CDTF">2020-04-16T14:43:00Z</dcterms:created>
  <dcterms:modified xsi:type="dcterms:W3CDTF">2020-04-16T14:43:00Z</dcterms:modified>
</cp:coreProperties>
</file>